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A20" w:rsidRDefault="00C546F4">
      <w:pPr>
        <w:keepLines/>
        <w:jc w:val="both"/>
        <w:rPr>
          <w:rFonts w:ascii="Arial Narrow" w:eastAsia="Arial Narrow" w:hAnsi="Arial Narrow" w:cs="Arial Narrow"/>
          <w:sz w:val="22"/>
          <w:szCs w:val="22"/>
        </w:rPr>
      </w:pPr>
      <w:bookmarkStart w:id="0" w:name="_GoBack"/>
      <w:bookmarkEnd w:id="0"/>
      <w:r>
        <w:rPr>
          <w:noProof/>
          <w:lang w:val="es-419" w:eastAsia="es-419"/>
        </w:rPr>
        <w:drawing>
          <wp:anchor distT="0" distB="0" distL="114300" distR="114300" simplePos="0" relativeHeight="251658240" behindDoc="1" locked="0" layoutInCell="1" allowOverlap="1">
            <wp:simplePos x="0" y="0"/>
            <wp:positionH relativeFrom="margin">
              <wp:posOffset>3149600</wp:posOffset>
            </wp:positionH>
            <wp:positionV relativeFrom="paragraph">
              <wp:posOffset>-200024</wp:posOffset>
            </wp:positionV>
            <wp:extent cx="2727129" cy="77135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844250" cy="804477"/>
                    </a:xfrm>
                    <a:prstGeom prst="rect">
                      <a:avLst/>
                    </a:prstGeom>
                  </pic:spPr>
                </pic:pic>
              </a:graphicData>
            </a:graphic>
            <wp14:sizeRelH relativeFrom="margin">
              <wp14:pctWidth>0</wp14:pctWidth>
            </wp14:sizeRelH>
            <wp14:sizeRelV relativeFrom="margin">
              <wp14:pctHeight>0</wp14:pctHeight>
            </wp14:sizeRelV>
          </wp:anchor>
        </w:drawing>
      </w:r>
    </w:p>
    <w:p w:rsidR="00D15A20" w:rsidRDefault="00BD1E10">
      <w:pPr>
        <w:keepLines/>
        <w:jc w:val="both"/>
        <w:rPr>
          <w:rFonts w:ascii="Arial Narrow" w:eastAsia="Arial Narrow" w:hAnsi="Arial Narrow" w:cs="Arial Narrow"/>
          <w:sz w:val="22"/>
          <w:szCs w:val="22"/>
        </w:rPr>
      </w:pPr>
      <w:r>
        <w:rPr>
          <w:rFonts w:ascii="Arial Narrow" w:eastAsia="Arial Narrow" w:hAnsi="Arial Narrow" w:cs="Arial Narrow"/>
          <w:sz w:val="22"/>
          <w:szCs w:val="22"/>
        </w:rPr>
        <w:t>Doctor</w:t>
      </w:r>
    </w:p>
    <w:p w:rsidR="00D15A20" w:rsidRDefault="00BD1E10">
      <w:pPr>
        <w:keepLines/>
        <w:jc w:val="both"/>
        <w:rPr>
          <w:rFonts w:ascii="Arial Narrow" w:eastAsia="Arial Narrow" w:hAnsi="Arial Narrow" w:cs="Arial Narrow"/>
          <w:b/>
          <w:sz w:val="22"/>
          <w:szCs w:val="22"/>
        </w:rPr>
      </w:pPr>
      <w:r>
        <w:rPr>
          <w:rFonts w:ascii="Arial Narrow" w:eastAsia="Arial Narrow" w:hAnsi="Arial Narrow" w:cs="Arial Narrow"/>
          <w:b/>
          <w:sz w:val="22"/>
          <w:szCs w:val="22"/>
        </w:rPr>
        <w:t>DAVID ANTONIO GARZÓN FANDIÑO</w:t>
      </w:r>
    </w:p>
    <w:p w:rsidR="00D15A20" w:rsidRDefault="00BD1E10">
      <w:pPr>
        <w:keepLines/>
        <w:jc w:val="both"/>
        <w:rPr>
          <w:rFonts w:ascii="Arial Narrow" w:eastAsia="Arial Narrow" w:hAnsi="Arial Narrow" w:cs="Arial Narrow"/>
          <w:sz w:val="22"/>
          <w:szCs w:val="22"/>
        </w:rPr>
      </w:pPr>
      <w:r>
        <w:rPr>
          <w:rFonts w:ascii="Arial Narrow" w:eastAsia="Arial Narrow" w:hAnsi="Arial Narrow" w:cs="Arial Narrow"/>
          <w:sz w:val="22"/>
          <w:szCs w:val="22"/>
        </w:rPr>
        <w:t>Secretario</w:t>
      </w:r>
    </w:p>
    <w:p w:rsidR="00D15A20" w:rsidRDefault="00BD1E10">
      <w:pPr>
        <w:keepLines/>
        <w:jc w:val="both"/>
        <w:rPr>
          <w:rFonts w:ascii="Arial Narrow" w:eastAsia="Arial Narrow" w:hAnsi="Arial Narrow" w:cs="Arial Narrow"/>
          <w:sz w:val="22"/>
          <w:szCs w:val="22"/>
        </w:rPr>
      </w:pPr>
      <w:r>
        <w:rPr>
          <w:rFonts w:ascii="Arial Narrow" w:eastAsia="Arial Narrow" w:hAnsi="Arial Narrow" w:cs="Arial Narrow"/>
          <w:sz w:val="22"/>
          <w:szCs w:val="22"/>
        </w:rPr>
        <w:t>Comisión Segunda Permanente de Gobierno</w:t>
      </w:r>
    </w:p>
    <w:p w:rsidR="00D15A20" w:rsidRDefault="00BD1E10">
      <w:pPr>
        <w:keepLines/>
        <w:jc w:val="both"/>
        <w:rPr>
          <w:rFonts w:ascii="Arial Narrow" w:eastAsia="Arial Narrow" w:hAnsi="Arial Narrow" w:cs="Arial Narrow"/>
          <w:sz w:val="22"/>
          <w:szCs w:val="22"/>
        </w:rPr>
      </w:pPr>
      <w:r>
        <w:rPr>
          <w:rFonts w:ascii="Arial Narrow" w:eastAsia="Arial Narrow" w:hAnsi="Arial Narrow" w:cs="Arial Narrow"/>
          <w:sz w:val="22"/>
          <w:szCs w:val="22"/>
        </w:rPr>
        <w:t>Concejo de Bogotá</w:t>
      </w:r>
    </w:p>
    <w:p w:rsidR="00D15A20" w:rsidRDefault="00BD1E10">
      <w:pPr>
        <w:keepLines/>
        <w:jc w:val="both"/>
        <w:rPr>
          <w:rFonts w:ascii="Arial Narrow" w:eastAsia="Arial Narrow" w:hAnsi="Arial Narrow" w:cs="Arial Narrow"/>
          <w:sz w:val="22"/>
          <w:szCs w:val="22"/>
        </w:rPr>
      </w:pPr>
      <w:r>
        <w:rPr>
          <w:rFonts w:ascii="Arial Narrow" w:eastAsia="Arial Narrow" w:hAnsi="Arial Narrow" w:cs="Arial Narrow"/>
          <w:sz w:val="22"/>
          <w:szCs w:val="22"/>
        </w:rPr>
        <w:t>Bogotá D.C.</w:t>
      </w:r>
    </w:p>
    <w:p w:rsidR="00D15A20" w:rsidRDefault="00D15A20">
      <w:pPr>
        <w:widowControl w:val="0"/>
        <w:jc w:val="both"/>
        <w:rPr>
          <w:rFonts w:ascii="Arial Narrow" w:eastAsia="Arial Narrow" w:hAnsi="Arial Narrow" w:cs="Arial Narrow"/>
          <w:sz w:val="22"/>
          <w:szCs w:val="22"/>
          <w:highlight w:val="yellow"/>
        </w:rPr>
      </w:pPr>
    </w:p>
    <w:p w:rsidR="00D15A20" w:rsidRDefault="00D15A20">
      <w:pPr>
        <w:widowControl w:val="0"/>
        <w:jc w:val="both"/>
        <w:rPr>
          <w:rFonts w:ascii="Arial Narrow" w:eastAsia="Arial Narrow" w:hAnsi="Arial Narrow" w:cs="Arial Narrow"/>
          <w:sz w:val="22"/>
          <w:szCs w:val="22"/>
          <w:highlight w:val="yellow"/>
        </w:rPr>
      </w:pPr>
    </w:p>
    <w:p w:rsidR="00D15A20" w:rsidRDefault="00D15A20">
      <w:pPr>
        <w:widowControl w:val="0"/>
        <w:jc w:val="both"/>
        <w:rPr>
          <w:rFonts w:ascii="Arial Narrow" w:eastAsia="Arial Narrow" w:hAnsi="Arial Narrow" w:cs="Arial Narrow"/>
          <w:sz w:val="22"/>
          <w:szCs w:val="22"/>
          <w:highlight w:val="yellow"/>
        </w:rPr>
      </w:pPr>
    </w:p>
    <w:p w:rsidR="00D15A20" w:rsidRDefault="00D15A20">
      <w:pPr>
        <w:widowControl w:val="0"/>
        <w:jc w:val="both"/>
        <w:rPr>
          <w:rFonts w:ascii="Arial Narrow" w:eastAsia="Arial Narrow" w:hAnsi="Arial Narrow" w:cs="Arial Narrow"/>
          <w:sz w:val="22"/>
          <w:szCs w:val="22"/>
          <w:highlight w:val="yellow"/>
        </w:rPr>
      </w:pPr>
    </w:p>
    <w:p w:rsidR="00D15A20" w:rsidRDefault="00BD1E10">
      <w:pPr>
        <w:widowControl w:val="0"/>
        <w:jc w:val="right"/>
        <w:rPr>
          <w:rFonts w:ascii="Arial Narrow" w:eastAsia="Arial Narrow" w:hAnsi="Arial Narrow" w:cs="Arial Narrow"/>
          <w:sz w:val="22"/>
          <w:szCs w:val="22"/>
        </w:rPr>
      </w:pPr>
      <w:r>
        <w:rPr>
          <w:rFonts w:ascii="Arial Narrow" w:eastAsia="Arial Narrow" w:hAnsi="Arial Narrow" w:cs="Arial Narrow"/>
          <w:b/>
          <w:sz w:val="22"/>
          <w:szCs w:val="22"/>
        </w:rPr>
        <w:t xml:space="preserve">Asunto: </w:t>
      </w:r>
      <w:r>
        <w:rPr>
          <w:rFonts w:ascii="Arial Narrow" w:eastAsia="Arial Narrow" w:hAnsi="Arial Narrow" w:cs="Arial Narrow"/>
          <w:sz w:val="22"/>
          <w:szCs w:val="22"/>
        </w:rPr>
        <w:t>Presentación Ponencia al Proyecto de Acuerdo 471 de 2025</w:t>
      </w:r>
    </w:p>
    <w:p w:rsidR="00D15A20" w:rsidRDefault="00D15A20">
      <w:pPr>
        <w:widowControl w:val="0"/>
        <w:jc w:val="both"/>
        <w:rPr>
          <w:rFonts w:ascii="Arial Narrow" w:eastAsia="Arial Narrow" w:hAnsi="Arial Narrow" w:cs="Arial Narrow"/>
          <w:sz w:val="22"/>
          <w:szCs w:val="22"/>
          <w:highlight w:val="yellow"/>
        </w:rPr>
      </w:pPr>
    </w:p>
    <w:p w:rsidR="00D15A20" w:rsidRDefault="00D15A20">
      <w:pPr>
        <w:widowControl w:val="0"/>
        <w:jc w:val="both"/>
        <w:rPr>
          <w:rFonts w:ascii="Arial Narrow" w:eastAsia="Arial Narrow" w:hAnsi="Arial Narrow" w:cs="Arial Narrow"/>
          <w:sz w:val="22"/>
          <w:szCs w:val="22"/>
          <w:highlight w:val="yellow"/>
        </w:rPr>
      </w:pPr>
    </w:p>
    <w:p w:rsidR="00D15A20" w:rsidRDefault="00BD1E10">
      <w:pPr>
        <w:widowControl w:val="0"/>
        <w:jc w:val="both"/>
        <w:rPr>
          <w:rFonts w:ascii="Arial Narrow" w:eastAsia="Arial Narrow" w:hAnsi="Arial Narrow" w:cs="Arial Narrow"/>
          <w:sz w:val="22"/>
          <w:szCs w:val="22"/>
        </w:rPr>
      </w:pPr>
      <w:r>
        <w:rPr>
          <w:rFonts w:ascii="Arial Narrow" w:eastAsia="Arial Narrow" w:hAnsi="Arial Narrow" w:cs="Arial Narrow"/>
          <w:sz w:val="22"/>
          <w:szCs w:val="22"/>
        </w:rPr>
        <w:t>Respetado doctor, cordial saludo.</w:t>
      </w:r>
    </w:p>
    <w:p w:rsidR="00D15A20" w:rsidRDefault="00D15A20">
      <w:pPr>
        <w:widowControl w:val="0"/>
        <w:jc w:val="both"/>
        <w:rPr>
          <w:rFonts w:ascii="Arial Narrow" w:eastAsia="Arial Narrow" w:hAnsi="Arial Narrow" w:cs="Arial Narrow"/>
          <w:sz w:val="22"/>
          <w:szCs w:val="22"/>
          <w:highlight w:val="yellow"/>
        </w:rPr>
      </w:pPr>
    </w:p>
    <w:p w:rsidR="00D15A20" w:rsidRDefault="00D15A20">
      <w:pPr>
        <w:widowControl w:val="0"/>
        <w:jc w:val="both"/>
        <w:rPr>
          <w:rFonts w:ascii="Arial Narrow" w:eastAsia="Arial Narrow" w:hAnsi="Arial Narrow" w:cs="Arial Narrow"/>
          <w:sz w:val="22"/>
          <w:szCs w:val="22"/>
          <w:highlight w:val="yellow"/>
        </w:rPr>
      </w:pPr>
    </w:p>
    <w:p w:rsidR="00D15A20" w:rsidRDefault="00D15A20">
      <w:pPr>
        <w:widowControl w:val="0"/>
        <w:jc w:val="both"/>
        <w:rPr>
          <w:rFonts w:ascii="Arial Narrow" w:eastAsia="Arial Narrow" w:hAnsi="Arial Narrow" w:cs="Arial Narrow"/>
          <w:sz w:val="22"/>
          <w:szCs w:val="22"/>
          <w:highlight w:val="yellow"/>
        </w:rPr>
      </w:pPr>
    </w:p>
    <w:p w:rsidR="00D15A20" w:rsidRDefault="00BD1E10">
      <w:pPr>
        <w:jc w:val="both"/>
        <w:rPr>
          <w:rFonts w:ascii="Arial Narrow" w:eastAsia="Arial Narrow" w:hAnsi="Arial Narrow" w:cs="Arial Narrow"/>
          <w:b/>
          <w:sz w:val="22"/>
          <w:szCs w:val="22"/>
        </w:rPr>
      </w:pPr>
      <w:r>
        <w:rPr>
          <w:rFonts w:ascii="Arial Narrow" w:eastAsia="Arial Narrow" w:hAnsi="Arial Narrow" w:cs="Arial Narrow"/>
          <w:sz w:val="22"/>
          <w:szCs w:val="22"/>
        </w:rPr>
        <w:t xml:space="preserve">Por designación efectuada mediante oficio </w:t>
      </w:r>
      <w:r>
        <w:rPr>
          <w:rFonts w:ascii="Arial Narrow" w:eastAsia="Arial Narrow" w:hAnsi="Arial Narrow" w:cs="Arial Narrow"/>
          <w:b/>
          <w:sz w:val="22"/>
          <w:szCs w:val="22"/>
        </w:rPr>
        <w:t>No. 2025IE8083 del 5 de mayo de 2025</w:t>
      </w:r>
      <w:r>
        <w:rPr>
          <w:rFonts w:ascii="Arial Narrow" w:eastAsia="Arial Narrow" w:hAnsi="Arial Narrow" w:cs="Arial Narrow"/>
          <w:sz w:val="22"/>
          <w:szCs w:val="22"/>
        </w:rPr>
        <w:t xml:space="preserve">, por parte del secretario general de la corporación, y encontrándome dentro del término reglamentario establecido en el artículo 71 del Acuerdo 741 de 2019 modificado por el acuerdo 837 de 2022, rendimos </w:t>
      </w:r>
      <w:r>
        <w:rPr>
          <w:rFonts w:ascii="Arial Narrow" w:eastAsia="Arial Narrow" w:hAnsi="Arial Narrow" w:cs="Arial Narrow"/>
          <w:b/>
          <w:sz w:val="22"/>
          <w:szCs w:val="22"/>
        </w:rPr>
        <w:t>PONENCIA POSITIVA CON MODIFICACIONES</w:t>
      </w:r>
      <w:r>
        <w:rPr>
          <w:rFonts w:ascii="Arial Narrow" w:eastAsia="Arial Narrow" w:hAnsi="Arial Narrow" w:cs="Arial Narrow"/>
          <w:sz w:val="22"/>
          <w:szCs w:val="22"/>
        </w:rPr>
        <w:t xml:space="preserve"> para el primer debate del proyecto de acuerdo </w:t>
      </w:r>
      <w:r>
        <w:rPr>
          <w:rFonts w:ascii="Arial Narrow" w:eastAsia="Arial Narrow" w:hAnsi="Arial Narrow" w:cs="Arial Narrow"/>
          <w:b/>
          <w:sz w:val="22"/>
          <w:szCs w:val="22"/>
        </w:rPr>
        <w:t>No. 471 de 2025</w:t>
      </w:r>
      <w:r>
        <w:rPr>
          <w:rFonts w:ascii="Arial Narrow" w:eastAsia="Arial Narrow" w:hAnsi="Arial Narrow" w:cs="Arial Narrow"/>
          <w:i/>
          <w:sz w:val="22"/>
          <w:szCs w:val="22"/>
        </w:rPr>
        <w:t xml:space="preserve"> “Por el cual se establece un protocolo para gestionar la fatiga y cansancio en los conductores que operan en los terminales de transporte terrestre automotor de pasajeros por carretera y se dictan otras disposiciones</w:t>
      </w:r>
      <w:r>
        <w:rPr>
          <w:rFonts w:ascii="Arial Narrow" w:eastAsia="Arial Narrow" w:hAnsi="Arial Narrow" w:cs="Arial Narrow"/>
          <w:b/>
          <w:sz w:val="22"/>
          <w:szCs w:val="22"/>
        </w:rPr>
        <w:t>”</w:t>
      </w:r>
      <w:r>
        <w:rPr>
          <w:rFonts w:ascii="Arial Narrow" w:eastAsia="Arial Narrow" w:hAnsi="Arial Narrow" w:cs="Arial Narrow"/>
          <w:sz w:val="22"/>
          <w:szCs w:val="22"/>
        </w:rPr>
        <w:t>, teniendo en cuenta las consideraciones de orden legal y fáctico que son expuestas a continuación.</w:t>
      </w:r>
    </w:p>
    <w:p w:rsidR="00D15A20" w:rsidRDefault="00D15A20">
      <w:pPr>
        <w:rPr>
          <w:rFonts w:ascii="Arial Narrow" w:eastAsia="Arial Narrow" w:hAnsi="Arial Narrow" w:cs="Arial Narrow"/>
          <w:sz w:val="22"/>
          <w:szCs w:val="22"/>
          <w:highlight w:val="yellow"/>
        </w:rPr>
      </w:pPr>
    </w:p>
    <w:p w:rsidR="00D15A20" w:rsidRDefault="00D15A20">
      <w:pPr>
        <w:rPr>
          <w:rFonts w:ascii="Arial Narrow" w:eastAsia="Arial Narrow" w:hAnsi="Arial Narrow" w:cs="Arial Narrow"/>
          <w:sz w:val="22"/>
          <w:szCs w:val="22"/>
          <w:highlight w:val="yellow"/>
        </w:rPr>
      </w:pPr>
    </w:p>
    <w:p w:rsidR="00D15A20" w:rsidRDefault="00D15A20">
      <w:pPr>
        <w:rPr>
          <w:rFonts w:ascii="Arial Narrow" w:eastAsia="Arial Narrow" w:hAnsi="Arial Narrow" w:cs="Arial Narrow"/>
          <w:sz w:val="22"/>
          <w:szCs w:val="22"/>
          <w:highlight w:val="yellow"/>
        </w:rPr>
      </w:pPr>
    </w:p>
    <w:p w:rsidR="00D15A20" w:rsidRDefault="00D15A20">
      <w:pPr>
        <w:rPr>
          <w:rFonts w:ascii="Arial Narrow" w:eastAsia="Arial Narrow" w:hAnsi="Arial Narrow" w:cs="Arial Narrow"/>
          <w:sz w:val="22"/>
          <w:szCs w:val="22"/>
          <w:highlight w:val="yellow"/>
        </w:rPr>
      </w:pPr>
    </w:p>
    <w:p w:rsidR="00D15A20" w:rsidRDefault="00D15A20">
      <w:pPr>
        <w:rPr>
          <w:rFonts w:ascii="Arial Narrow" w:eastAsia="Arial Narrow" w:hAnsi="Arial Narrow" w:cs="Arial Narrow"/>
          <w:sz w:val="22"/>
          <w:szCs w:val="22"/>
          <w:highlight w:val="yellow"/>
        </w:rPr>
      </w:pPr>
    </w:p>
    <w:p w:rsidR="00D15A20" w:rsidRDefault="00D15A20">
      <w:pPr>
        <w:rPr>
          <w:rFonts w:ascii="Arial Narrow" w:eastAsia="Arial Narrow" w:hAnsi="Arial Narrow" w:cs="Arial Narrow"/>
          <w:sz w:val="22"/>
          <w:szCs w:val="22"/>
          <w:highlight w:val="yellow"/>
        </w:rPr>
      </w:pPr>
    </w:p>
    <w:p w:rsidR="00D15A20" w:rsidRDefault="00BD1E10">
      <w:pPr>
        <w:widowControl w:val="0"/>
        <w:jc w:val="both"/>
        <w:rPr>
          <w:rFonts w:ascii="Arial Narrow" w:eastAsia="Arial Narrow" w:hAnsi="Arial Narrow" w:cs="Arial Narrow"/>
          <w:sz w:val="22"/>
          <w:szCs w:val="22"/>
        </w:rPr>
      </w:pPr>
      <w:r>
        <w:rPr>
          <w:rFonts w:ascii="Arial Narrow" w:eastAsia="Arial Narrow" w:hAnsi="Arial Narrow" w:cs="Arial Narrow"/>
          <w:sz w:val="22"/>
          <w:szCs w:val="22"/>
        </w:rPr>
        <w:t xml:space="preserve">Cordialmente, </w:t>
      </w:r>
    </w:p>
    <w:p w:rsidR="00D15A20" w:rsidRDefault="00D15A20">
      <w:pPr>
        <w:widowControl w:val="0"/>
        <w:jc w:val="both"/>
        <w:rPr>
          <w:rFonts w:ascii="Arial Narrow" w:eastAsia="Arial Narrow" w:hAnsi="Arial Narrow" w:cs="Arial Narrow"/>
          <w:sz w:val="22"/>
          <w:szCs w:val="22"/>
        </w:rPr>
      </w:pPr>
    </w:p>
    <w:p w:rsidR="00D15A20" w:rsidRDefault="00D15A20">
      <w:pPr>
        <w:widowControl w:val="0"/>
        <w:jc w:val="both"/>
        <w:rPr>
          <w:rFonts w:ascii="Arial Narrow" w:eastAsia="Arial Narrow" w:hAnsi="Arial Narrow" w:cs="Arial Narrow"/>
          <w:sz w:val="22"/>
          <w:szCs w:val="22"/>
        </w:rPr>
      </w:pPr>
    </w:p>
    <w:p w:rsidR="00D15A20" w:rsidRDefault="00D15A20">
      <w:pPr>
        <w:widowControl w:val="0"/>
        <w:jc w:val="both"/>
        <w:rPr>
          <w:rFonts w:ascii="Arial Narrow" w:eastAsia="Arial Narrow" w:hAnsi="Arial Narrow" w:cs="Arial Narrow"/>
          <w:sz w:val="22"/>
          <w:szCs w:val="22"/>
        </w:rPr>
      </w:pPr>
    </w:p>
    <w:p w:rsidR="00D15A20" w:rsidRDefault="00D15A20">
      <w:pPr>
        <w:widowControl w:val="0"/>
        <w:jc w:val="both"/>
        <w:rPr>
          <w:rFonts w:ascii="Arial Narrow" w:eastAsia="Arial Narrow" w:hAnsi="Arial Narrow" w:cs="Arial Narrow"/>
          <w:sz w:val="22"/>
          <w:szCs w:val="22"/>
        </w:rPr>
      </w:pPr>
    </w:p>
    <w:p w:rsidR="00D15A20" w:rsidRDefault="00D15A20">
      <w:pPr>
        <w:widowControl w:val="0"/>
        <w:jc w:val="both"/>
        <w:rPr>
          <w:rFonts w:ascii="Arial Narrow" w:eastAsia="Arial Narrow" w:hAnsi="Arial Narrow" w:cs="Arial Narrow"/>
          <w:sz w:val="22"/>
          <w:szCs w:val="22"/>
        </w:rPr>
      </w:pPr>
    </w:p>
    <w:p w:rsidR="00D15A20" w:rsidRDefault="00D15A20">
      <w:pPr>
        <w:jc w:val="both"/>
        <w:rPr>
          <w:rFonts w:ascii="Arial Narrow" w:eastAsia="Arial Narrow" w:hAnsi="Arial Narrow" w:cs="Arial Narrow"/>
          <w:sz w:val="22"/>
          <w:szCs w:val="22"/>
        </w:rPr>
      </w:pPr>
    </w:p>
    <w:p w:rsidR="00D15A20" w:rsidRDefault="00BD1E10">
      <w:pPr>
        <w:jc w:val="both"/>
        <w:rPr>
          <w:rFonts w:ascii="Arial Narrow" w:eastAsia="Arial Narrow" w:hAnsi="Arial Narrow" w:cs="Arial Narrow"/>
          <w:b/>
          <w:sz w:val="22"/>
          <w:szCs w:val="22"/>
        </w:rPr>
      </w:pPr>
      <w:r>
        <w:rPr>
          <w:rFonts w:ascii="Arial Narrow" w:eastAsia="Arial Narrow" w:hAnsi="Arial Narrow" w:cs="Arial Narrow"/>
          <w:b/>
          <w:sz w:val="22"/>
          <w:szCs w:val="22"/>
        </w:rPr>
        <w:t>SAMIR BEDOYA PIRAQUIVE</w:t>
      </w: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Concejal de Bogotá</w:t>
      </w: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Partido Político MIRA</w:t>
      </w: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Ponente</w:t>
      </w:r>
    </w:p>
    <w:p w:rsidR="00D15A20" w:rsidRDefault="00BD1E10">
      <w:pPr>
        <w:jc w:val="center"/>
        <w:rPr>
          <w:rFonts w:ascii="Arial Narrow" w:eastAsia="Arial Narrow" w:hAnsi="Arial Narrow" w:cs="Arial Narrow"/>
          <w:b/>
          <w:sz w:val="22"/>
          <w:szCs w:val="22"/>
          <w:highlight w:val="yellow"/>
        </w:rPr>
      </w:pPr>
      <w:r>
        <w:br w:type="page"/>
      </w:r>
    </w:p>
    <w:p w:rsidR="00D15A20" w:rsidRDefault="00BD1E10">
      <w:pPr>
        <w:jc w:val="center"/>
        <w:rPr>
          <w:rFonts w:ascii="Arial Narrow" w:eastAsia="Arial Narrow" w:hAnsi="Arial Narrow" w:cs="Arial Narrow"/>
          <w:b/>
          <w:sz w:val="22"/>
          <w:szCs w:val="22"/>
          <w:highlight w:val="yellow"/>
        </w:rPr>
      </w:pPr>
      <w:r>
        <w:rPr>
          <w:rFonts w:ascii="Arial Narrow" w:eastAsia="Arial Narrow" w:hAnsi="Arial Narrow" w:cs="Arial Narrow"/>
          <w:b/>
          <w:sz w:val="22"/>
          <w:szCs w:val="22"/>
        </w:rPr>
        <w:lastRenderedPageBreak/>
        <w:t>PONENCIA PROYECTO DE ACUERDO PA 471 de 2025</w:t>
      </w:r>
    </w:p>
    <w:p w:rsidR="00D15A20" w:rsidRDefault="00D15A20">
      <w:pPr>
        <w:jc w:val="center"/>
        <w:rPr>
          <w:rFonts w:ascii="Arial Narrow" w:eastAsia="Arial Narrow" w:hAnsi="Arial Narrow" w:cs="Arial Narrow"/>
          <w:b/>
          <w:sz w:val="22"/>
          <w:szCs w:val="22"/>
        </w:rPr>
      </w:pPr>
    </w:p>
    <w:p w:rsidR="00D15A20" w:rsidRDefault="00BD1E10">
      <w:pPr>
        <w:jc w:val="center"/>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t>“POR EL CUAL SE ESTABLECE UN PROTOCOLO PARA GESTIONAR LA FATIGA Y EL CANSANCIO EN LOS CONDUCTORES QUE OPERAN EN LOS TERMINALES DE TRANSPORTE TERRESTRE AUTOMOTOR DE PASAJEROS POR CARRETERA EN BOGOTÁ Y SE DICTAN OTRAS DISPOSICIONES”</w:t>
      </w:r>
    </w:p>
    <w:p w:rsidR="00D15A20" w:rsidRDefault="00D15A20">
      <w:pPr>
        <w:jc w:val="center"/>
        <w:rPr>
          <w:rFonts w:ascii="Arial Narrow" w:eastAsia="Arial Narrow" w:hAnsi="Arial Narrow" w:cs="Arial Narrow"/>
          <w:b/>
          <w:sz w:val="22"/>
          <w:szCs w:val="22"/>
        </w:rPr>
      </w:pPr>
    </w:p>
    <w:p w:rsidR="00D15A20" w:rsidRDefault="00BD1E10">
      <w:pPr>
        <w:jc w:val="center"/>
        <w:rPr>
          <w:rFonts w:ascii="Arial Narrow" w:eastAsia="Arial Narrow" w:hAnsi="Arial Narrow" w:cs="Arial Narrow"/>
          <w:b/>
          <w:sz w:val="22"/>
          <w:szCs w:val="22"/>
        </w:rPr>
      </w:pPr>
      <w:r>
        <w:rPr>
          <w:rFonts w:ascii="Arial Narrow" w:eastAsia="Arial Narrow" w:hAnsi="Arial Narrow" w:cs="Arial Narrow"/>
          <w:b/>
          <w:sz w:val="22"/>
          <w:szCs w:val="22"/>
        </w:rPr>
        <w:t>EXPOSICIÓN DE MOTIVOS</w:t>
      </w:r>
    </w:p>
    <w:p w:rsidR="00D15A20" w:rsidRDefault="00D15A20">
      <w:pPr>
        <w:jc w:val="center"/>
        <w:rPr>
          <w:rFonts w:ascii="Arial Narrow" w:eastAsia="Arial Narrow" w:hAnsi="Arial Narrow" w:cs="Arial Narrow"/>
          <w:b/>
          <w:sz w:val="22"/>
          <w:szCs w:val="22"/>
          <w:highlight w:val="yellow"/>
        </w:rPr>
      </w:pPr>
    </w:p>
    <w:p w:rsidR="00D15A20" w:rsidRDefault="00BD1E10">
      <w:pPr>
        <w:pStyle w:val="Ttulo1"/>
        <w:numPr>
          <w:ilvl w:val="0"/>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OBJETO DEL PROYECTO</w:t>
      </w:r>
    </w:p>
    <w:p w:rsidR="00D15A20" w:rsidRDefault="00D15A20">
      <w:pPr>
        <w:pBdr>
          <w:top w:val="nil"/>
          <w:left w:val="nil"/>
          <w:bottom w:val="nil"/>
          <w:right w:val="nil"/>
          <w:between w:val="nil"/>
        </w:pBdr>
        <w:jc w:val="both"/>
        <w:rPr>
          <w:rFonts w:ascii="Arial Narrow" w:eastAsia="Arial Narrow" w:hAnsi="Arial Narrow" w:cs="Arial Narrow"/>
          <w:color w:val="000000"/>
          <w:sz w:val="22"/>
          <w:szCs w:val="22"/>
          <w:highlight w:val="yellow"/>
        </w:rPr>
      </w:pPr>
    </w:p>
    <w:p w:rsidR="00D15A20" w:rsidRDefault="00BD1E10">
      <w:p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El presente proyecto de acuerdo tiene por objeto establecer un protocolo para gestionar la fatiga y sueño en los conductores que salen de los terminales de transporte terrestre de Bogotá, como una medida que busca disminuir los niveles de accidentabilidad causados por escenarios de microsueño, cansancio y somnolencia durante el traslado de pasajeros por carretera.   </w:t>
      </w:r>
    </w:p>
    <w:p w:rsidR="00D15A20" w:rsidRDefault="00D15A20">
      <w:pPr>
        <w:pBdr>
          <w:top w:val="nil"/>
          <w:left w:val="nil"/>
          <w:bottom w:val="nil"/>
          <w:right w:val="nil"/>
          <w:between w:val="nil"/>
        </w:pBdr>
        <w:jc w:val="both"/>
        <w:rPr>
          <w:rFonts w:ascii="Arial Narrow" w:eastAsia="Arial Narrow" w:hAnsi="Arial Narrow" w:cs="Arial Narrow"/>
          <w:color w:val="000000"/>
          <w:sz w:val="22"/>
          <w:szCs w:val="22"/>
          <w:highlight w:val="yellow"/>
        </w:rPr>
      </w:pPr>
    </w:p>
    <w:p w:rsidR="00D15A20" w:rsidRDefault="00BD1E10">
      <w:pPr>
        <w:pStyle w:val="Ttulo1"/>
        <w:numPr>
          <w:ilvl w:val="0"/>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ANTECEDENTES</w:t>
      </w:r>
    </w:p>
    <w:p w:rsidR="00D15A20" w:rsidRDefault="00D15A20">
      <w:pPr>
        <w:keepNext/>
        <w:keepLines/>
        <w:pBdr>
          <w:top w:val="nil"/>
          <w:left w:val="nil"/>
          <w:bottom w:val="nil"/>
          <w:right w:val="nil"/>
          <w:between w:val="nil"/>
        </w:pBdr>
        <w:tabs>
          <w:tab w:val="left" w:pos="284"/>
        </w:tabs>
        <w:jc w:val="both"/>
        <w:rPr>
          <w:rFonts w:ascii="Arial Narrow" w:eastAsia="Arial Narrow" w:hAnsi="Arial Narrow" w:cs="Arial Narrow"/>
          <w:color w:val="000000"/>
          <w:sz w:val="22"/>
          <w:szCs w:val="22"/>
          <w:highlight w:val="yellow"/>
        </w:rPr>
      </w:pPr>
    </w:p>
    <w:p w:rsidR="00D15A20" w:rsidRDefault="00BD1E10">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rPr>
      </w:pPr>
      <w:r>
        <w:rPr>
          <w:rFonts w:ascii="Arial Narrow" w:eastAsia="Arial Narrow" w:hAnsi="Arial Narrow" w:cs="Arial Narrow"/>
          <w:sz w:val="22"/>
          <w:szCs w:val="22"/>
        </w:rPr>
        <w:t xml:space="preserve">El Proyecto de Acuerdo N.º 471 de 2025, </w:t>
      </w:r>
      <w:r>
        <w:rPr>
          <w:rFonts w:ascii="Arial Narrow" w:eastAsia="Arial Narrow" w:hAnsi="Arial Narrow" w:cs="Arial Narrow"/>
          <w:b/>
          <w:sz w:val="22"/>
          <w:szCs w:val="22"/>
        </w:rPr>
        <w:t xml:space="preserve">“POR EL CUAL SE ESTABLECE UN PROTOCOLO PARA GESTIONAR LA FATIGA Y EL CANSANCIO EN LOS CONDUCTORES QUE OPERAN EN LOS TERMINALES DE TRANSPORTE TERRESTRE AUTOMOTOR DE PASAJEROS POR CARRETERA EN BOGOTÁ Y SE DICTAN OTRAS DISPOSICIONES”, </w:t>
      </w:r>
      <w:r>
        <w:rPr>
          <w:rFonts w:ascii="Arial Narrow" w:eastAsia="Arial Narrow" w:hAnsi="Arial Narrow" w:cs="Arial Narrow"/>
          <w:sz w:val="22"/>
          <w:szCs w:val="22"/>
        </w:rPr>
        <w:t>no registra antecedentes en las vigencias pasadas según los informes anuales titulados: relación de proyectos de acuerdo publicados para dichos periodos que se encuentra en la red interna del Concejo de Bogotá.</w:t>
      </w:r>
    </w:p>
    <w:p w:rsidR="00D15A20" w:rsidRDefault="00D15A20">
      <w:pPr>
        <w:pBdr>
          <w:top w:val="nil"/>
          <w:left w:val="nil"/>
          <w:bottom w:val="nil"/>
          <w:right w:val="nil"/>
          <w:between w:val="nil"/>
        </w:pBdr>
        <w:jc w:val="both"/>
        <w:rPr>
          <w:rFonts w:ascii="Arial Narrow" w:eastAsia="Arial Narrow" w:hAnsi="Arial Narrow" w:cs="Arial Narrow"/>
          <w:sz w:val="22"/>
          <w:szCs w:val="22"/>
          <w:highlight w:val="yellow"/>
        </w:rPr>
      </w:pPr>
    </w:p>
    <w:p w:rsidR="00D15A20" w:rsidRDefault="00BD1E10">
      <w:pPr>
        <w:pStyle w:val="Ttulo1"/>
        <w:numPr>
          <w:ilvl w:val="0"/>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INICIATIVA Y COMPETENCIA DEL CONCEJO DE BOGOTÁ</w:t>
      </w:r>
    </w:p>
    <w:p w:rsidR="00D15A20" w:rsidRDefault="00D15A20">
      <w:pPr>
        <w:keepNext/>
        <w:keepLines/>
        <w:pBdr>
          <w:top w:val="nil"/>
          <w:left w:val="nil"/>
          <w:bottom w:val="nil"/>
          <w:right w:val="nil"/>
          <w:between w:val="nil"/>
        </w:pBdr>
        <w:tabs>
          <w:tab w:val="left" w:pos="284"/>
        </w:tabs>
        <w:ind w:left="720"/>
        <w:jc w:val="both"/>
        <w:rPr>
          <w:rFonts w:ascii="Arial Narrow" w:eastAsia="Arial Narrow" w:hAnsi="Arial Narrow" w:cs="Arial Narrow"/>
          <w:b/>
          <w:sz w:val="22"/>
          <w:szCs w:val="22"/>
          <w:highlight w:val="yellow"/>
        </w:rPr>
      </w:pPr>
    </w:p>
    <w:p w:rsidR="00D15A20" w:rsidRDefault="00BD1E10">
      <w:pPr>
        <w:keepNext/>
        <w:keepLines/>
        <w:pBdr>
          <w:top w:val="nil"/>
          <w:left w:val="nil"/>
          <w:bottom w:val="nil"/>
          <w:right w:val="nil"/>
          <w:between w:val="nil"/>
        </w:pBdr>
        <w:tabs>
          <w:tab w:val="left" w:pos="284"/>
        </w:tabs>
        <w:jc w:val="both"/>
        <w:rPr>
          <w:rFonts w:ascii="Arial Narrow" w:eastAsia="Arial Narrow" w:hAnsi="Arial Narrow" w:cs="Arial Narrow"/>
          <w:sz w:val="22"/>
          <w:szCs w:val="22"/>
        </w:rPr>
      </w:pPr>
      <w:r>
        <w:rPr>
          <w:rFonts w:ascii="Arial Narrow" w:eastAsia="Arial Narrow" w:hAnsi="Arial Narrow" w:cs="Arial Narrow"/>
          <w:sz w:val="22"/>
          <w:szCs w:val="22"/>
        </w:rPr>
        <w:t>El análisis de la iniciativa y competencia se aborda desde dos ámbitos; la primera que contempla la posición del autor del proyecto de acuerdo, y el segundo que integra las consideraciones del ponente tal como se presenta a continuación:</w:t>
      </w:r>
    </w:p>
    <w:p w:rsidR="00D15A20" w:rsidRDefault="00D15A20">
      <w:pPr>
        <w:jc w:val="both"/>
        <w:rPr>
          <w:rFonts w:ascii="Arial Narrow" w:eastAsia="Arial Narrow" w:hAnsi="Arial Narrow" w:cs="Arial Narrow"/>
          <w:sz w:val="22"/>
          <w:szCs w:val="22"/>
          <w:highlight w:val="yellow"/>
        </w:rPr>
      </w:pPr>
    </w:p>
    <w:p w:rsidR="00D15A20" w:rsidRDefault="00BD1E10">
      <w:pPr>
        <w:pStyle w:val="Ttulo1"/>
        <w:numPr>
          <w:ilvl w:val="1"/>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SEGÚN EL AUTOR.</w:t>
      </w:r>
    </w:p>
    <w:p w:rsidR="00D15A20" w:rsidRDefault="00D15A20">
      <w:pPr>
        <w:jc w:val="both"/>
        <w:rPr>
          <w:rFonts w:ascii="Arial Narrow" w:eastAsia="Arial Narrow" w:hAnsi="Arial Narrow" w:cs="Arial Narrow"/>
          <w:b/>
          <w:sz w:val="22"/>
          <w:szCs w:val="22"/>
          <w:highlight w:val="yellow"/>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En el numeral V. Competencia del Concejo de Bogotá, el autor establece los siguientes argumentos sobre las atribuciones del Concejo de Bogotá:</w:t>
      </w:r>
    </w:p>
    <w:p w:rsidR="00D15A20" w:rsidRDefault="00D15A20">
      <w:pPr>
        <w:jc w:val="both"/>
        <w:rPr>
          <w:rFonts w:ascii="Arial Narrow" w:eastAsia="Arial Narrow" w:hAnsi="Arial Narrow" w:cs="Arial Narrow"/>
          <w:sz w:val="22"/>
          <w:szCs w:val="22"/>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De conformidad con lo establecido por el Decreto 1421 de 1993 —Estatuto Orgánico de Bogotá—, el Concejo de Bogotá es competente para conocer y tramitar la presente iniciativa. Dentro de las atribuciones contempladas en el artículo 12 del Decreto 1421 de 1993 se encuentra la siguiente:</w:t>
      </w:r>
    </w:p>
    <w:p w:rsidR="00D15A20" w:rsidRDefault="00D15A20">
      <w:pPr>
        <w:ind w:left="720"/>
        <w:jc w:val="both"/>
        <w:rPr>
          <w:rFonts w:ascii="Arial Narrow" w:eastAsia="Arial Narrow" w:hAnsi="Arial Narrow" w:cs="Arial Narrow"/>
          <w:sz w:val="22"/>
          <w:szCs w:val="22"/>
        </w:rPr>
      </w:pPr>
    </w:p>
    <w:p w:rsidR="00D15A20" w:rsidRDefault="00BD1E10">
      <w:pPr>
        <w:numPr>
          <w:ilvl w:val="0"/>
          <w:numId w:val="16"/>
        </w:numPr>
        <w:pBdr>
          <w:top w:val="nil"/>
          <w:left w:val="nil"/>
          <w:bottom w:val="nil"/>
          <w:right w:val="nil"/>
          <w:between w:val="nil"/>
        </w:pBdr>
        <w:ind w:left="1800"/>
        <w:jc w:val="both"/>
        <w:rPr>
          <w:rFonts w:ascii="Arial Narrow" w:eastAsia="Arial Narrow" w:hAnsi="Arial Narrow" w:cs="Arial Narrow"/>
          <w:sz w:val="22"/>
          <w:szCs w:val="22"/>
        </w:rPr>
      </w:pPr>
      <w:r>
        <w:rPr>
          <w:rFonts w:ascii="Arial Narrow" w:eastAsia="Arial Narrow" w:hAnsi="Arial Narrow" w:cs="Arial Narrow"/>
          <w:sz w:val="22"/>
          <w:szCs w:val="22"/>
        </w:rPr>
        <w:t>Dictar las normas necesarias para garantizar el adecuado cumplimiento de las funciones y la eficiente prestación de los servicios a cargo del Distrito.</w:t>
      </w:r>
    </w:p>
    <w:p w:rsidR="00D15A20" w:rsidRDefault="00D15A20">
      <w:pPr>
        <w:jc w:val="both"/>
        <w:rPr>
          <w:rFonts w:ascii="Arial Narrow" w:eastAsia="Arial Narrow" w:hAnsi="Arial Narrow" w:cs="Arial Narrow"/>
          <w:sz w:val="22"/>
          <w:szCs w:val="22"/>
        </w:rPr>
      </w:pPr>
    </w:p>
    <w:p w:rsidR="00D15A20" w:rsidRDefault="00D15A20">
      <w:pPr>
        <w:jc w:val="both"/>
        <w:rPr>
          <w:rFonts w:ascii="Arial Narrow" w:eastAsia="Arial Narrow" w:hAnsi="Arial Narrow" w:cs="Arial Narrow"/>
          <w:sz w:val="22"/>
          <w:szCs w:val="22"/>
          <w:highlight w:val="yellow"/>
        </w:rPr>
      </w:pPr>
    </w:p>
    <w:p w:rsidR="00D15A20" w:rsidRDefault="00D15A20">
      <w:pPr>
        <w:jc w:val="both"/>
        <w:rPr>
          <w:rFonts w:ascii="Arial Narrow" w:eastAsia="Arial Narrow" w:hAnsi="Arial Narrow" w:cs="Arial Narrow"/>
          <w:sz w:val="22"/>
          <w:szCs w:val="22"/>
          <w:highlight w:val="yellow"/>
        </w:rPr>
      </w:pPr>
    </w:p>
    <w:p w:rsidR="00D15A20" w:rsidRDefault="00BD1E10">
      <w:pPr>
        <w:pStyle w:val="Ttulo1"/>
        <w:numPr>
          <w:ilvl w:val="1"/>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 xml:space="preserve">CONSIDERACIONES DEL PONENTE </w:t>
      </w:r>
    </w:p>
    <w:p w:rsidR="00D15A20" w:rsidRDefault="00D15A20">
      <w:pPr>
        <w:rPr>
          <w:rFonts w:ascii="Arial Narrow" w:eastAsia="Arial Narrow" w:hAnsi="Arial Narrow" w:cs="Arial Narrow"/>
          <w:highlight w:val="yellow"/>
        </w:rPr>
      </w:pPr>
    </w:p>
    <w:p w:rsidR="00D15A20" w:rsidRDefault="00BD1E10">
      <w:pPr>
        <w:pBdr>
          <w:top w:val="nil"/>
          <w:left w:val="nil"/>
          <w:bottom w:val="nil"/>
          <w:right w:val="nil"/>
          <w:between w:val="nil"/>
        </w:pBdr>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Es pertinente referir en el proyecto de acuerdo las siguientes disposiciones: </w:t>
      </w:r>
    </w:p>
    <w:p w:rsidR="00D15A20" w:rsidRDefault="00D15A20">
      <w:pPr>
        <w:pBdr>
          <w:top w:val="nil"/>
          <w:left w:val="nil"/>
          <w:bottom w:val="nil"/>
          <w:right w:val="nil"/>
          <w:between w:val="nil"/>
        </w:pBdr>
        <w:jc w:val="both"/>
        <w:rPr>
          <w:rFonts w:ascii="Arial Narrow" w:eastAsia="Arial Narrow" w:hAnsi="Arial Narrow" w:cs="Arial Narrow"/>
          <w:color w:val="000000"/>
          <w:sz w:val="22"/>
          <w:szCs w:val="22"/>
          <w:highlight w:val="yellow"/>
        </w:rPr>
      </w:pPr>
    </w:p>
    <w:p w:rsidR="00D15A20" w:rsidRDefault="00BD1E10">
      <w:pPr>
        <w:pBdr>
          <w:top w:val="nil"/>
          <w:left w:val="nil"/>
          <w:bottom w:val="nil"/>
          <w:right w:val="nil"/>
          <w:between w:val="nil"/>
        </w:pBdr>
        <w:jc w:val="both"/>
        <w:rPr>
          <w:rFonts w:ascii="Arial Narrow" w:eastAsia="Arial Narrow" w:hAnsi="Arial Narrow" w:cs="Arial Narrow"/>
          <w:b/>
          <w:i/>
          <w:color w:val="000000"/>
          <w:sz w:val="22"/>
          <w:szCs w:val="22"/>
        </w:rPr>
      </w:pPr>
      <w:r>
        <w:rPr>
          <w:rFonts w:ascii="Arial Narrow" w:eastAsia="Arial Narrow" w:hAnsi="Arial Narrow" w:cs="Arial Narrow"/>
          <w:b/>
          <w:i/>
          <w:color w:val="000000"/>
          <w:sz w:val="22"/>
          <w:szCs w:val="22"/>
        </w:rPr>
        <w:t>Constitución Política De Colombia</w:t>
      </w:r>
    </w:p>
    <w:p w:rsidR="00D15A20" w:rsidRDefault="00D15A20">
      <w:pPr>
        <w:pBdr>
          <w:top w:val="nil"/>
          <w:left w:val="nil"/>
          <w:bottom w:val="nil"/>
          <w:right w:val="nil"/>
          <w:between w:val="nil"/>
        </w:pBdr>
        <w:jc w:val="both"/>
        <w:rPr>
          <w:rFonts w:ascii="Arial Narrow" w:eastAsia="Arial Narrow" w:hAnsi="Arial Narrow" w:cs="Arial Narrow"/>
          <w:b/>
          <w:i/>
          <w:color w:val="000000"/>
          <w:sz w:val="22"/>
          <w:szCs w:val="22"/>
        </w:rPr>
      </w:pPr>
    </w:p>
    <w:p w:rsidR="00D15A20" w:rsidRDefault="00BD1E10">
      <w:pPr>
        <w:pBdr>
          <w:top w:val="nil"/>
          <w:left w:val="nil"/>
          <w:bottom w:val="nil"/>
          <w:right w:val="nil"/>
          <w:between w:val="nil"/>
        </w:pBdr>
        <w:ind w:left="720"/>
        <w:jc w:val="both"/>
        <w:rPr>
          <w:rFonts w:ascii="Arial Narrow" w:eastAsia="Arial Narrow" w:hAnsi="Arial Narrow" w:cs="Arial Narrow"/>
          <w:i/>
          <w:color w:val="000000"/>
          <w:sz w:val="22"/>
          <w:szCs w:val="22"/>
        </w:rPr>
      </w:pPr>
      <w:r>
        <w:rPr>
          <w:rFonts w:ascii="Arial Narrow" w:eastAsia="Arial Narrow" w:hAnsi="Arial Narrow" w:cs="Arial Narrow"/>
          <w:b/>
          <w:i/>
          <w:color w:val="000000"/>
          <w:sz w:val="22"/>
          <w:szCs w:val="22"/>
        </w:rPr>
        <w:t>Artículo 313.</w:t>
      </w:r>
      <w:r>
        <w:rPr>
          <w:rFonts w:ascii="Arial Narrow" w:eastAsia="Arial Narrow" w:hAnsi="Arial Narrow" w:cs="Arial Narrow"/>
          <w:i/>
          <w:color w:val="000000"/>
          <w:sz w:val="22"/>
          <w:szCs w:val="22"/>
        </w:rPr>
        <w:t xml:space="preserve"> Corresponde a los Concejos.</w:t>
      </w:r>
    </w:p>
    <w:p w:rsidR="00D15A20" w:rsidRDefault="00BD1E10">
      <w:pPr>
        <w:pBdr>
          <w:top w:val="nil"/>
          <w:left w:val="nil"/>
          <w:bottom w:val="nil"/>
          <w:right w:val="nil"/>
          <w:between w:val="nil"/>
        </w:pBdr>
        <w:ind w:left="720"/>
        <w:jc w:val="both"/>
        <w:rPr>
          <w:rFonts w:ascii="Arial Narrow" w:eastAsia="Arial Narrow" w:hAnsi="Arial Narrow" w:cs="Arial Narrow"/>
          <w:i/>
          <w:color w:val="000000"/>
          <w:sz w:val="22"/>
          <w:szCs w:val="22"/>
        </w:rPr>
      </w:pPr>
      <w:r>
        <w:rPr>
          <w:rFonts w:ascii="Arial Narrow" w:eastAsia="Arial Narrow" w:hAnsi="Arial Narrow" w:cs="Arial Narrow"/>
          <w:i/>
          <w:color w:val="000000"/>
          <w:sz w:val="22"/>
          <w:szCs w:val="22"/>
        </w:rPr>
        <w:t>1. Reglamentar las funciones y la eficiente prestación de los servicios a cargo del municipio. (…)</w:t>
      </w:r>
    </w:p>
    <w:p w:rsidR="00D15A20" w:rsidRDefault="00D15A20">
      <w:pPr>
        <w:pBdr>
          <w:top w:val="nil"/>
          <w:left w:val="nil"/>
          <w:bottom w:val="nil"/>
          <w:right w:val="nil"/>
          <w:between w:val="nil"/>
        </w:pBdr>
        <w:ind w:left="720"/>
        <w:jc w:val="both"/>
        <w:rPr>
          <w:rFonts w:ascii="Arial Narrow" w:eastAsia="Arial Narrow" w:hAnsi="Arial Narrow" w:cs="Arial Narrow"/>
          <w:i/>
          <w:color w:val="000000"/>
          <w:sz w:val="22"/>
          <w:szCs w:val="22"/>
        </w:rPr>
      </w:pPr>
    </w:p>
    <w:p w:rsidR="00D15A20" w:rsidRDefault="00BD1E10">
      <w:pPr>
        <w:pBdr>
          <w:top w:val="nil"/>
          <w:left w:val="nil"/>
          <w:bottom w:val="nil"/>
          <w:right w:val="nil"/>
          <w:between w:val="nil"/>
        </w:pBdr>
        <w:ind w:left="720"/>
        <w:jc w:val="both"/>
        <w:rPr>
          <w:rFonts w:ascii="Arial Narrow" w:eastAsia="Arial Narrow" w:hAnsi="Arial Narrow" w:cs="Arial Narrow"/>
          <w:b/>
          <w:i/>
          <w:color w:val="000000"/>
          <w:sz w:val="22"/>
          <w:szCs w:val="22"/>
        </w:rPr>
      </w:pPr>
      <w:r>
        <w:rPr>
          <w:rFonts w:ascii="Arial Narrow" w:eastAsia="Arial Narrow" w:hAnsi="Arial Narrow" w:cs="Arial Narrow"/>
          <w:b/>
          <w:i/>
          <w:color w:val="000000"/>
          <w:sz w:val="22"/>
          <w:szCs w:val="22"/>
        </w:rPr>
        <w:t>DECRETO LEY 1421 DE 1993</w:t>
      </w:r>
    </w:p>
    <w:p w:rsidR="00D15A20" w:rsidRDefault="00BD1E10">
      <w:pPr>
        <w:pBdr>
          <w:top w:val="nil"/>
          <w:left w:val="nil"/>
          <w:bottom w:val="nil"/>
          <w:right w:val="nil"/>
          <w:between w:val="nil"/>
        </w:pBdr>
        <w:ind w:left="720"/>
        <w:jc w:val="both"/>
        <w:rPr>
          <w:rFonts w:ascii="Arial Narrow" w:eastAsia="Arial Narrow" w:hAnsi="Arial Narrow" w:cs="Arial Narrow"/>
          <w:i/>
          <w:color w:val="000000"/>
          <w:sz w:val="22"/>
          <w:szCs w:val="22"/>
        </w:rPr>
      </w:pPr>
      <w:r>
        <w:rPr>
          <w:rFonts w:ascii="Arial Narrow" w:eastAsia="Arial Narrow" w:hAnsi="Arial Narrow" w:cs="Arial Narrow"/>
          <w:b/>
          <w:i/>
          <w:color w:val="000000"/>
          <w:sz w:val="22"/>
          <w:szCs w:val="22"/>
        </w:rPr>
        <w:t>Artículo 12. Atribuciones.</w:t>
      </w:r>
      <w:r>
        <w:rPr>
          <w:rFonts w:ascii="Arial Narrow" w:eastAsia="Arial Narrow" w:hAnsi="Arial Narrow" w:cs="Arial Narrow"/>
          <w:i/>
          <w:color w:val="000000"/>
          <w:sz w:val="22"/>
          <w:szCs w:val="22"/>
        </w:rPr>
        <w:t xml:space="preserve"> Corresponde al Concejo Distrital, de conformidad con la Constitución y la ley:</w:t>
      </w:r>
    </w:p>
    <w:p w:rsidR="00D15A20" w:rsidRDefault="00BD1E10">
      <w:pPr>
        <w:pBdr>
          <w:top w:val="nil"/>
          <w:left w:val="nil"/>
          <w:bottom w:val="nil"/>
          <w:right w:val="nil"/>
          <w:between w:val="nil"/>
        </w:pBdr>
        <w:ind w:left="1788"/>
        <w:jc w:val="both"/>
        <w:rPr>
          <w:rFonts w:ascii="Arial Narrow" w:eastAsia="Arial Narrow" w:hAnsi="Arial Narrow" w:cs="Arial Narrow"/>
          <w:i/>
          <w:color w:val="000000"/>
          <w:sz w:val="22"/>
          <w:szCs w:val="22"/>
        </w:rPr>
      </w:pPr>
      <w:r>
        <w:rPr>
          <w:rFonts w:ascii="Arial Narrow" w:eastAsia="Arial Narrow" w:hAnsi="Arial Narrow" w:cs="Arial Narrow"/>
          <w:i/>
          <w:color w:val="000000"/>
          <w:sz w:val="22"/>
          <w:szCs w:val="22"/>
        </w:rPr>
        <w:t>25. Cumplir las demás funciones que le asignen las disposiciones vigentes.</w:t>
      </w:r>
    </w:p>
    <w:p w:rsidR="00D15A20" w:rsidRDefault="00D15A20">
      <w:pPr>
        <w:pBdr>
          <w:top w:val="nil"/>
          <w:left w:val="nil"/>
          <w:bottom w:val="nil"/>
          <w:right w:val="nil"/>
          <w:between w:val="nil"/>
        </w:pBdr>
        <w:ind w:left="360"/>
        <w:jc w:val="both"/>
        <w:rPr>
          <w:rFonts w:ascii="Arial Narrow" w:eastAsia="Arial Narrow" w:hAnsi="Arial Narrow" w:cs="Arial Narrow"/>
          <w:color w:val="000000"/>
          <w:sz w:val="22"/>
          <w:szCs w:val="22"/>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 xml:space="preserve">En este sentido, como el Concejo de Bogotá D.C. es una </w:t>
      </w:r>
      <w:r>
        <w:rPr>
          <w:rFonts w:ascii="Arial Narrow" w:eastAsia="Arial Narrow" w:hAnsi="Arial Narrow" w:cs="Arial Narrow"/>
          <w:b/>
          <w:sz w:val="22"/>
          <w:szCs w:val="22"/>
        </w:rPr>
        <w:t>corporación administrativa de elección popular que cumple las funciones que estrictamente le señala la Constitución Política y la ley</w:t>
      </w:r>
      <w:r>
        <w:rPr>
          <w:rFonts w:ascii="Arial Narrow" w:eastAsia="Arial Narrow" w:hAnsi="Arial Narrow" w:cs="Arial Narrow"/>
          <w:sz w:val="22"/>
          <w:szCs w:val="22"/>
          <w:vertAlign w:val="superscript"/>
        </w:rPr>
        <w:footnoteReference w:id="1"/>
      </w:r>
      <w:r>
        <w:rPr>
          <w:rFonts w:ascii="Arial Narrow" w:eastAsia="Arial Narrow" w:hAnsi="Arial Narrow" w:cs="Arial Narrow"/>
          <w:sz w:val="22"/>
          <w:szCs w:val="22"/>
        </w:rPr>
        <w:t xml:space="preserve">, en esta ponencia se realizan modificaciones para que las disposiciones normativas del presente Proyecto de Acuerdo se ajusten a las competencias otorgadas al Cabildo Distrital. </w:t>
      </w:r>
    </w:p>
    <w:p w:rsidR="00D15A20" w:rsidRDefault="00D15A20">
      <w:pPr>
        <w:pBdr>
          <w:top w:val="nil"/>
          <w:left w:val="nil"/>
          <w:bottom w:val="nil"/>
          <w:right w:val="nil"/>
          <w:between w:val="nil"/>
        </w:pBdr>
        <w:jc w:val="both"/>
        <w:rPr>
          <w:rFonts w:ascii="Arial Narrow" w:eastAsia="Arial Narrow" w:hAnsi="Arial Narrow" w:cs="Arial Narrow"/>
          <w:i/>
          <w:sz w:val="22"/>
          <w:szCs w:val="22"/>
          <w:highlight w:val="yellow"/>
        </w:rPr>
      </w:pPr>
    </w:p>
    <w:p w:rsidR="00D15A20" w:rsidRDefault="00BD1E10">
      <w:pPr>
        <w:pStyle w:val="Ttulo1"/>
        <w:numPr>
          <w:ilvl w:val="0"/>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 xml:space="preserve">CONSTITUCIONALIDAD Y LEGALIDAD </w:t>
      </w:r>
    </w:p>
    <w:p w:rsidR="00D15A20" w:rsidRDefault="00D15A20">
      <w:pPr>
        <w:keepNext/>
        <w:keepLines/>
        <w:pBdr>
          <w:top w:val="nil"/>
          <w:left w:val="nil"/>
          <w:bottom w:val="nil"/>
          <w:right w:val="nil"/>
          <w:between w:val="nil"/>
        </w:pBdr>
        <w:tabs>
          <w:tab w:val="left" w:pos="284"/>
        </w:tabs>
        <w:jc w:val="both"/>
        <w:rPr>
          <w:rFonts w:ascii="Arial Narrow" w:eastAsia="Arial Narrow" w:hAnsi="Arial Narrow" w:cs="Arial Narrow"/>
          <w:b/>
          <w:color w:val="000000"/>
          <w:sz w:val="22"/>
          <w:szCs w:val="22"/>
        </w:rPr>
      </w:pPr>
    </w:p>
    <w:p w:rsidR="00D15A20" w:rsidRDefault="00BD1E10">
      <w:pPr>
        <w:pStyle w:val="Ttulo1"/>
        <w:numPr>
          <w:ilvl w:val="1"/>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SEGÚN EL AUTOR DE LA INICIATIVA</w:t>
      </w:r>
    </w:p>
    <w:p w:rsidR="00D15A20" w:rsidRDefault="00D15A20">
      <w:pPr>
        <w:jc w:val="both"/>
        <w:rPr>
          <w:rFonts w:ascii="Arial Narrow" w:eastAsia="Arial Narrow" w:hAnsi="Arial Narrow" w:cs="Arial Narrow"/>
          <w:i/>
          <w:sz w:val="22"/>
          <w:szCs w:val="22"/>
          <w:highlight w:val="yellow"/>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El autor de la iniciativa presenta como sustento jurídico los siguientes referentes normativos expuestos en el numeral III. Sustento Jurídico de la iniciativa:</w:t>
      </w:r>
    </w:p>
    <w:p w:rsidR="00D15A20" w:rsidRDefault="00D15A20">
      <w:pPr>
        <w:jc w:val="both"/>
        <w:rPr>
          <w:rFonts w:ascii="Arial Narrow" w:eastAsia="Arial Narrow" w:hAnsi="Arial Narrow" w:cs="Arial Narrow"/>
          <w:sz w:val="22"/>
          <w:szCs w:val="22"/>
          <w:highlight w:val="yellow"/>
        </w:rPr>
      </w:pPr>
    </w:p>
    <w:p w:rsidR="00D15A20" w:rsidRDefault="00BD1E10">
      <w:pPr>
        <w:pStyle w:val="Ttulo1"/>
        <w:numPr>
          <w:ilvl w:val="2"/>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De orden constitucional</w:t>
      </w:r>
    </w:p>
    <w:p w:rsidR="00D15A20" w:rsidRDefault="00D15A20">
      <w:pPr>
        <w:jc w:val="both"/>
        <w:rPr>
          <w:rFonts w:ascii="Arial Narrow" w:eastAsia="Arial Narrow" w:hAnsi="Arial Narrow" w:cs="Arial Narrow"/>
        </w:rPr>
      </w:pP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Artículo 2</w:t>
      </w:r>
      <w:r>
        <w:rPr>
          <w:rFonts w:ascii="Arial Narrow" w:eastAsia="Arial Narrow" w:hAnsi="Arial Narrow" w:cs="Arial Narrow"/>
          <w:sz w:val="22"/>
          <w:szCs w:val="22"/>
        </w:rPr>
        <w:t>: “Las autoridades de la República están instituidas para proteger a todas las personas residentes en Colombia, en su vida, honra, bienes, creencias y demás derechos y libertades, y para asegurar el cumplimiento de los deberes sociales del Estado y de los particulares.”</w:t>
      </w: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Artículo 11</w:t>
      </w:r>
      <w:r>
        <w:rPr>
          <w:rFonts w:ascii="Arial Narrow" w:eastAsia="Arial Narrow" w:hAnsi="Arial Narrow" w:cs="Arial Narrow"/>
          <w:sz w:val="22"/>
          <w:szCs w:val="22"/>
        </w:rPr>
        <w:t>: “El derecho a la vida es inviolable.”</w:t>
      </w: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Artículo 24</w:t>
      </w:r>
      <w:r>
        <w:rPr>
          <w:rFonts w:ascii="Arial Narrow" w:eastAsia="Arial Narrow" w:hAnsi="Arial Narrow" w:cs="Arial Narrow"/>
          <w:sz w:val="22"/>
          <w:szCs w:val="22"/>
        </w:rPr>
        <w:t>: “Todo colombiano, con las limitaciones que establezca la ley, tiene derecho a circular libremente por el territorio nacional, a entrar y salir de él.”</w:t>
      </w: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Artículo 26</w:t>
      </w:r>
      <w:r>
        <w:rPr>
          <w:rFonts w:ascii="Arial Narrow" w:eastAsia="Arial Narrow" w:hAnsi="Arial Narrow" w:cs="Arial Narrow"/>
          <w:sz w:val="22"/>
          <w:szCs w:val="22"/>
        </w:rPr>
        <w:t>: “Toda persona es libre de escoger profesión u oficio. (...) Las ocupaciones, artes y oficios que no exijan formación académica son de libre ejercicio, salvo aquellas que impliquen un riesgo social. (...)”</w:t>
      </w: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lastRenderedPageBreak/>
        <w:t>Artículo 53</w:t>
      </w:r>
      <w:r>
        <w:rPr>
          <w:rFonts w:ascii="Arial Narrow" w:eastAsia="Arial Narrow" w:hAnsi="Arial Narrow" w:cs="Arial Narrow"/>
          <w:sz w:val="22"/>
          <w:szCs w:val="22"/>
        </w:rPr>
        <w:t xml:space="preserve">: Señala los principios mínimos fundamentales del trabajo, dentro de los cuales se incluyen el </w:t>
      </w:r>
      <w:r>
        <w:rPr>
          <w:rFonts w:ascii="Arial Narrow" w:eastAsia="Arial Narrow" w:hAnsi="Arial Narrow" w:cs="Arial Narrow"/>
          <w:i/>
          <w:sz w:val="22"/>
          <w:szCs w:val="22"/>
        </w:rPr>
        <w:t>“descanso necesario”</w:t>
      </w:r>
      <w:r>
        <w:rPr>
          <w:rFonts w:ascii="Arial Narrow" w:eastAsia="Arial Narrow" w:hAnsi="Arial Narrow" w:cs="Arial Narrow"/>
          <w:sz w:val="22"/>
          <w:szCs w:val="22"/>
        </w:rPr>
        <w:t xml:space="preserve"> y la </w:t>
      </w:r>
      <w:r>
        <w:rPr>
          <w:rFonts w:ascii="Arial Narrow" w:eastAsia="Arial Narrow" w:hAnsi="Arial Narrow" w:cs="Arial Narrow"/>
          <w:i/>
          <w:sz w:val="22"/>
          <w:szCs w:val="22"/>
        </w:rPr>
        <w:t>“seguridad social”</w:t>
      </w:r>
      <w:r>
        <w:rPr>
          <w:rFonts w:ascii="Arial Narrow" w:eastAsia="Arial Narrow" w:hAnsi="Arial Narrow" w:cs="Arial Narrow"/>
          <w:sz w:val="22"/>
          <w:szCs w:val="22"/>
        </w:rPr>
        <w:t>, esenciales para garantizar condiciones dignas y justas en el ejercicio de actividades laborales, como la conducción profesional.</w:t>
      </w: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Artículo 93</w:t>
      </w:r>
      <w:r>
        <w:rPr>
          <w:rFonts w:ascii="Arial Narrow" w:eastAsia="Arial Narrow" w:hAnsi="Arial Narrow" w:cs="Arial Narrow"/>
          <w:sz w:val="22"/>
          <w:szCs w:val="22"/>
        </w:rPr>
        <w:t xml:space="preserve">: </w:t>
      </w:r>
      <w:r>
        <w:rPr>
          <w:rFonts w:ascii="Arial Narrow" w:eastAsia="Arial Narrow" w:hAnsi="Arial Narrow" w:cs="Arial Narrow"/>
          <w:i/>
          <w:sz w:val="22"/>
          <w:szCs w:val="22"/>
        </w:rPr>
        <w:t xml:space="preserve">“Los tratados y convenios internacionales ratificados por el Congreso, que reconocen los derechos humanos y que prohíben su limitación en los estados de excepción, prevalecen en el orden interno. Los derechos y deberes consagrados en esta Carta se interpretarán de conformidad con los tratados internacionales sobre derechos humanos ratificados por Colombia.” </w:t>
      </w:r>
      <w:r>
        <w:rPr>
          <w:rFonts w:ascii="Arial Narrow" w:eastAsia="Arial Narrow" w:hAnsi="Arial Narrow" w:cs="Arial Narrow"/>
          <w:sz w:val="22"/>
          <w:szCs w:val="22"/>
        </w:rPr>
        <w:t>En virtud de este artículo, adquieren fuerza vinculante los siguientes instrumentos:</w:t>
      </w:r>
    </w:p>
    <w:p w:rsidR="00D15A20" w:rsidRDefault="00BD1E10">
      <w:pPr>
        <w:numPr>
          <w:ilvl w:val="0"/>
          <w:numId w:val="2"/>
        </w:numPr>
        <w:ind w:left="2160"/>
        <w:jc w:val="both"/>
        <w:rPr>
          <w:rFonts w:ascii="Arial Narrow" w:eastAsia="Arial Narrow" w:hAnsi="Arial Narrow" w:cs="Arial Narrow"/>
          <w:sz w:val="22"/>
          <w:szCs w:val="22"/>
        </w:rPr>
      </w:pPr>
      <w:r>
        <w:rPr>
          <w:rFonts w:ascii="Arial Narrow" w:eastAsia="Arial Narrow" w:hAnsi="Arial Narrow" w:cs="Arial Narrow"/>
          <w:b/>
          <w:sz w:val="22"/>
          <w:szCs w:val="22"/>
        </w:rPr>
        <w:t>Convenio 155 de la OIT</w:t>
      </w:r>
      <w:r>
        <w:rPr>
          <w:rFonts w:ascii="Arial Narrow" w:eastAsia="Arial Narrow" w:hAnsi="Arial Narrow" w:cs="Arial Narrow"/>
          <w:sz w:val="22"/>
          <w:szCs w:val="22"/>
        </w:rPr>
        <w:t>: Establece la obligación del Estado de “formar, aplicar y revisar una política coherente en materia de seguridad y salud de los trabajadores”.</w:t>
      </w:r>
    </w:p>
    <w:p w:rsidR="00D15A20" w:rsidRDefault="00BD1E10">
      <w:pPr>
        <w:numPr>
          <w:ilvl w:val="0"/>
          <w:numId w:val="2"/>
        </w:numPr>
        <w:ind w:left="2160"/>
        <w:jc w:val="both"/>
        <w:rPr>
          <w:rFonts w:ascii="Arial Narrow" w:eastAsia="Arial Narrow" w:hAnsi="Arial Narrow" w:cs="Arial Narrow"/>
          <w:sz w:val="22"/>
          <w:szCs w:val="22"/>
        </w:rPr>
      </w:pPr>
      <w:r>
        <w:rPr>
          <w:rFonts w:ascii="Arial Narrow" w:eastAsia="Arial Narrow" w:hAnsi="Arial Narrow" w:cs="Arial Narrow"/>
          <w:b/>
          <w:sz w:val="22"/>
          <w:szCs w:val="22"/>
        </w:rPr>
        <w:t>Convenio 187 de la OIT</w:t>
      </w:r>
      <w:r>
        <w:rPr>
          <w:rFonts w:ascii="Arial Narrow" w:eastAsia="Arial Narrow" w:hAnsi="Arial Narrow" w:cs="Arial Narrow"/>
          <w:sz w:val="22"/>
          <w:szCs w:val="22"/>
        </w:rPr>
        <w:t>: Refuerza el derecho de todo trabajador a un entorno laboral “seguro y saludable”, exigiendo medidas nacionales para prevenir riesgos y proteger la vida de los trabajadores.</w:t>
      </w:r>
    </w:p>
    <w:p w:rsidR="00D15A20" w:rsidRDefault="00D15A20">
      <w:pPr>
        <w:rPr>
          <w:rFonts w:ascii="Arial Narrow" w:eastAsia="Arial Narrow" w:hAnsi="Arial Narrow" w:cs="Arial Narrow"/>
          <w:sz w:val="22"/>
          <w:szCs w:val="22"/>
          <w:highlight w:val="yellow"/>
        </w:rPr>
      </w:pPr>
    </w:p>
    <w:p w:rsidR="00D15A20" w:rsidRDefault="00BD1E10">
      <w:pPr>
        <w:pStyle w:val="Ttulo1"/>
        <w:numPr>
          <w:ilvl w:val="2"/>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De orden legal</w:t>
      </w:r>
    </w:p>
    <w:p w:rsidR="00D15A20" w:rsidRDefault="00D15A20">
      <w:pPr>
        <w:widowControl w:val="0"/>
        <w:ind w:left="1224"/>
        <w:rPr>
          <w:rFonts w:ascii="Arial Narrow" w:eastAsia="Arial Narrow" w:hAnsi="Arial Narrow" w:cs="Arial Narrow"/>
          <w:sz w:val="22"/>
          <w:szCs w:val="22"/>
        </w:rPr>
      </w:pP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Ley 1503 de 2011:</w:t>
      </w:r>
      <w:r>
        <w:rPr>
          <w:rFonts w:ascii="Arial Narrow" w:eastAsia="Arial Narrow" w:hAnsi="Arial Narrow" w:cs="Arial Narrow"/>
          <w:sz w:val="22"/>
          <w:szCs w:val="22"/>
        </w:rPr>
        <w:t xml:space="preserve"> estableció como herramienta para la prevención y control de los riesgos asociados a la accidentalidad, entre otros, los Planes Estratégicos de Seguridad Vial (PESV). Artículo 12: Toda empresa, entidad u organización que cuente con más de 10 vehículos automotores o no automotores debe diseñar e implementar un Plan Estratégico de Seguridad Vial.</w:t>
      </w:r>
    </w:p>
    <w:p w:rsidR="00D15A20" w:rsidRDefault="00BD1E10">
      <w:pPr>
        <w:numPr>
          <w:ilvl w:val="0"/>
          <w:numId w:val="1"/>
        </w:numPr>
        <w:ind w:left="1800"/>
        <w:jc w:val="both"/>
        <w:rPr>
          <w:rFonts w:ascii="Arial Narrow" w:eastAsia="Arial Narrow" w:hAnsi="Arial Narrow" w:cs="Arial Narrow"/>
          <w:b/>
          <w:sz w:val="22"/>
          <w:szCs w:val="22"/>
        </w:rPr>
      </w:pPr>
      <w:r>
        <w:rPr>
          <w:rFonts w:ascii="Arial Narrow" w:eastAsia="Arial Narrow" w:hAnsi="Arial Narrow" w:cs="Arial Narrow"/>
          <w:b/>
          <w:sz w:val="22"/>
          <w:szCs w:val="22"/>
        </w:rPr>
        <w:t xml:space="preserve">Decreto 1079 de 2015: </w:t>
      </w:r>
      <w:r>
        <w:rPr>
          <w:rFonts w:ascii="Arial Narrow" w:eastAsia="Arial Narrow" w:hAnsi="Arial Narrow" w:cs="Arial Narrow"/>
          <w:sz w:val="22"/>
          <w:szCs w:val="22"/>
        </w:rPr>
        <w:t>Por medio del cual se expide el Decreto Único Reglamentario del Sector Transporte.</w:t>
      </w: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Resolución 20223040040595 de 2022 MinTransporte</w:t>
      </w:r>
      <w:r>
        <w:rPr>
          <w:rFonts w:ascii="Arial Narrow" w:eastAsia="Arial Narrow" w:hAnsi="Arial Narrow" w:cs="Arial Narrow"/>
          <w:sz w:val="22"/>
          <w:szCs w:val="22"/>
        </w:rPr>
        <w:t>: “Procedimiento para controlar la jornada de trabajo, horas de conducción y descanso de los conductores, debe contener: mecanismo o equipo de medición (...) planificación de los viajes (...) procedimiento en caso de encontrar excesos (...).”  “Los factores de desempeño de la prevención de la fatiga (...) pueden ser: promover el cumplimiento de la jornada laboral (...) controlar la jornada de descanso entre turnos (...).” Y sobre el comité:</w:t>
      </w:r>
      <w:r>
        <w:rPr>
          <w:rFonts w:ascii="Arial Narrow" w:eastAsia="Arial Narrow" w:hAnsi="Arial Narrow" w:cs="Arial Narrow"/>
          <w:sz w:val="22"/>
          <w:szCs w:val="22"/>
        </w:rPr>
        <w:br/>
        <w:t>“e) Analizar los indicadores de siniestralidad vial, las investigaciones internas de siniestros viales y realizar seguimiento a los planes de acción que surgen de los resultados (...).”</w:t>
      </w: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Ley 2050 de 2020, Artículo 1: </w:t>
      </w:r>
      <w:r>
        <w:rPr>
          <w:rFonts w:ascii="Arial Narrow" w:eastAsia="Arial Narrow" w:hAnsi="Arial Narrow" w:cs="Arial Narrow"/>
          <w:sz w:val="22"/>
          <w:szCs w:val="22"/>
        </w:rPr>
        <w:t>“La verificación de la implementación del Plan Estratégico de Seguridad Vial corresponderá a la Superintendencia de Transporte, los organismos de Tránsito o el Ministerio de Trabajo (...).”</w:t>
      </w: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Decreto 1072 de 2015</w:t>
      </w:r>
      <w:r>
        <w:rPr>
          <w:rFonts w:ascii="Arial Narrow" w:eastAsia="Arial Narrow" w:hAnsi="Arial Narrow" w:cs="Arial Narrow"/>
          <w:sz w:val="22"/>
          <w:szCs w:val="22"/>
        </w:rPr>
        <w:t xml:space="preserve">, </w:t>
      </w:r>
      <w:r>
        <w:rPr>
          <w:rFonts w:ascii="Arial Narrow" w:eastAsia="Arial Narrow" w:hAnsi="Arial Narrow" w:cs="Arial Narrow"/>
          <w:b/>
          <w:sz w:val="22"/>
          <w:szCs w:val="22"/>
        </w:rPr>
        <w:t>Artículo 2.2.4.6.4</w:t>
      </w:r>
      <w:r>
        <w:rPr>
          <w:rFonts w:ascii="Arial Narrow" w:eastAsia="Arial Narrow" w:hAnsi="Arial Narrow" w:cs="Arial Narrow"/>
          <w:sz w:val="22"/>
          <w:szCs w:val="22"/>
        </w:rPr>
        <w:t>: “El Sistema de Gestión de la Seguridad y Salud en el Trabajo (SG-SST) consiste en el desarrollo de un proceso lógico y por etapas (...) con el objetivo de anticipar, reconocer, evaluar y controlar los riesgos que puedan afectar la seguridad y la salud en el trabajo.”</w:t>
      </w:r>
    </w:p>
    <w:p w:rsidR="00D15A20" w:rsidRDefault="00D15A20">
      <w:pPr>
        <w:widowControl w:val="0"/>
        <w:ind w:left="1224"/>
        <w:rPr>
          <w:rFonts w:ascii="Arial Narrow" w:eastAsia="Arial Narrow" w:hAnsi="Arial Narrow" w:cs="Arial Narrow"/>
          <w:sz w:val="22"/>
          <w:szCs w:val="22"/>
        </w:rPr>
      </w:pPr>
    </w:p>
    <w:p w:rsidR="00D15A20" w:rsidRDefault="00D15A20">
      <w:pPr>
        <w:widowControl w:val="0"/>
        <w:ind w:left="1224"/>
        <w:rPr>
          <w:rFonts w:ascii="Arial Narrow" w:eastAsia="Arial Narrow" w:hAnsi="Arial Narrow" w:cs="Arial Narrow"/>
          <w:sz w:val="22"/>
          <w:szCs w:val="22"/>
          <w:highlight w:val="yellow"/>
        </w:rPr>
      </w:pPr>
    </w:p>
    <w:p w:rsidR="00D15A20" w:rsidRDefault="00BD1E10">
      <w:pPr>
        <w:pStyle w:val="Ttulo1"/>
        <w:numPr>
          <w:ilvl w:val="2"/>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lastRenderedPageBreak/>
        <w:t>Normatividad distrital</w:t>
      </w:r>
    </w:p>
    <w:p w:rsidR="00D15A20" w:rsidRDefault="00D15A20">
      <w:pPr>
        <w:ind w:left="720"/>
        <w:rPr>
          <w:rFonts w:ascii="Arial Narrow" w:eastAsia="Arial Narrow" w:hAnsi="Arial Narrow" w:cs="Arial Narrow"/>
          <w:b/>
          <w:sz w:val="22"/>
          <w:szCs w:val="22"/>
          <w:highlight w:val="yellow"/>
        </w:rPr>
      </w:pP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Acuerdo 257 de 2006: </w:t>
      </w:r>
      <w:r>
        <w:rPr>
          <w:rFonts w:ascii="Arial Narrow" w:eastAsia="Arial Narrow" w:hAnsi="Arial Narrow" w:cs="Arial Narrow"/>
          <w:sz w:val="22"/>
          <w:szCs w:val="22"/>
        </w:rPr>
        <w:t>efectuó la creación de la Secretaría Distrital de Movilidad, antes Secretaría de Tránsito y Transporte (art. 105). Establece la misión y las funciones.</w:t>
      </w:r>
    </w:p>
    <w:p w:rsidR="00D15A20" w:rsidRDefault="00BD1E10">
      <w:pPr>
        <w:numPr>
          <w:ilvl w:val="0"/>
          <w:numId w:val="1"/>
        </w:numPr>
        <w:ind w:left="1800"/>
        <w:jc w:val="both"/>
        <w:rPr>
          <w:rFonts w:ascii="Arial Narrow" w:eastAsia="Arial Narrow" w:hAnsi="Arial Narrow" w:cs="Arial Narrow"/>
          <w:sz w:val="22"/>
          <w:szCs w:val="22"/>
        </w:rPr>
      </w:pPr>
      <w:r>
        <w:rPr>
          <w:rFonts w:ascii="Arial Narrow" w:eastAsia="Arial Narrow" w:hAnsi="Arial Narrow" w:cs="Arial Narrow"/>
          <w:b/>
          <w:sz w:val="22"/>
          <w:szCs w:val="22"/>
        </w:rPr>
        <w:t>Decreto Distrital 672 de 2018:</w:t>
      </w:r>
      <w:r>
        <w:rPr>
          <w:rFonts w:ascii="Arial Narrow" w:eastAsia="Arial Narrow" w:hAnsi="Arial Narrow" w:cs="Arial Narrow"/>
          <w:sz w:val="22"/>
          <w:szCs w:val="22"/>
        </w:rPr>
        <w:t xml:space="preserve"> Asigna al despacho de la Secretaría de Movilidad la función de: </w:t>
      </w:r>
      <w:r>
        <w:rPr>
          <w:rFonts w:ascii="Arial Narrow" w:eastAsia="Arial Narrow" w:hAnsi="Arial Narrow" w:cs="Arial Narrow"/>
          <w:i/>
          <w:sz w:val="22"/>
          <w:szCs w:val="22"/>
        </w:rPr>
        <w:t>“Orientar las acciones de control del transporte intermunicipal en la jurisdicción del Distrito Capital”</w:t>
      </w:r>
      <w:r>
        <w:rPr>
          <w:rFonts w:ascii="Arial Narrow" w:eastAsia="Arial Narrow" w:hAnsi="Arial Narrow" w:cs="Arial Narrow"/>
          <w:sz w:val="22"/>
          <w:szCs w:val="22"/>
        </w:rPr>
        <w:t xml:space="preserve"> (art. 4, num. 13).</w:t>
      </w:r>
    </w:p>
    <w:p w:rsidR="00D15A20" w:rsidRDefault="00D15A20">
      <w:pPr>
        <w:pStyle w:val="Ttulo1"/>
        <w:ind w:left="792" w:firstLine="0"/>
        <w:jc w:val="left"/>
        <w:rPr>
          <w:rFonts w:ascii="Arial Narrow" w:eastAsia="Arial Narrow" w:hAnsi="Arial Narrow" w:cs="Arial Narrow"/>
          <w:b/>
          <w:sz w:val="22"/>
          <w:szCs w:val="22"/>
          <w:highlight w:val="yellow"/>
        </w:rPr>
      </w:pPr>
    </w:p>
    <w:p w:rsidR="00D15A20" w:rsidRDefault="00BD1E10">
      <w:pPr>
        <w:pStyle w:val="Ttulo1"/>
        <w:numPr>
          <w:ilvl w:val="1"/>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CONSIDERACIONES DEL PONENTE</w:t>
      </w:r>
    </w:p>
    <w:p w:rsidR="00D15A20" w:rsidRDefault="00D15A20">
      <w:pPr>
        <w:widowControl w:val="0"/>
        <w:tabs>
          <w:tab w:val="left" w:pos="284"/>
        </w:tabs>
        <w:jc w:val="both"/>
        <w:rPr>
          <w:rFonts w:ascii="Arial Narrow" w:eastAsia="Arial Narrow" w:hAnsi="Arial Narrow" w:cs="Arial Narrow"/>
          <w:b/>
          <w:sz w:val="22"/>
          <w:szCs w:val="22"/>
          <w:highlight w:val="yellow"/>
        </w:rPr>
      </w:pPr>
    </w:p>
    <w:p w:rsidR="00D15A20" w:rsidRDefault="00BD1E10">
      <w:pPr>
        <w:pStyle w:val="Ttulo1"/>
        <w:numPr>
          <w:ilvl w:val="2"/>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De orden constitucional</w:t>
      </w:r>
    </w:p>
    <w:p w:rsidR="00D15A20" w:rsidRDefault="00D15A20">
      <w:pPr>
        <w:widowControl w:val="0"/>
        <w:tabs>
          <w:tab w:val="left" w:pos="284"/>
        </w:tabs>
        <w:jc w:val="both"/>
        <w:rPr>
          <w:rFonts w:ascii="Arial Narrow" w:eastAsia="Arial Narrow" w:hAnsi="Arial Narrow" w:cs="Arial Narrow"/>
          <w:b/>
          <w:sz w:val="22"/>
          <w:szCs w:val="22"/>
        </w:rPr>
      </w:pPr>
    </w:p>
    <w:p w:rsidR="00D15A20" w:rsidRDefault="00BD1E10">
      <w:pPr>
        <w:widowControl w:val="0"/>
        <w:tabs>
          <w:tab w:val="left" w:pos="284"/>
        </w:tabs>
        <w:ind w:left="720"/>
        <w:jc w:val="both"/>
        <w:rPr>
          <w:rFonts w:ascii="Arial Narrow" w:eastAsia="Arial Narrow" w:hAnsi="Arial Narrow" w:cs="Arial Narrow"/>
          <w:sz w:val="22"/>
          <w:szCs w:val="22"/>
        </w:rPr>
      </w:pPr>
      <w:r>
        <w:rPr>
          <w:rFonts w:ascii="Arial Narrow" w:eastAsia="Arial Narrow" w:hAnsi="Arial Narrow" w:cs="Arial Narrow"/>
          <w:sz w:val="22"/>
          <w:szCs w:val="22"/>
        </w:rPr>
        <w:t xml:space="preserve">El </w:t>
      </w:r>
      <w:r>
        <w:rPr>
          <w:rFonts w:ascii="Arial Narrow" w:eastAsia="Arial Narrow" w:hAnsi="Arial Narrow" w:cs="Arial Narrow"/>
          <w:b/>
          <w:sz w:val="22"/>
          <w:szCs w:val="22"/>
        </w:rPr>
        <w:t>Proyecto de Acuerdo 471 de 2025</w:t>
      </w:r>
      <w:r>
        <w:rPr>
          <w:rFonts w:ascii="Arial Narrow" w:eastAsia="Arial Narrow" w:hAnsi="Arial Narrow" w:cs="Arial Narrow"/>
          <w:sz w:val="22"/>
          <w:szCs w:val="22"/>
        </w:rPr>
        <w:t xml:space="preserve"> encuentra sustento en diversos preceptos constitucionales que garantizan el derecho a la vida, la seguridad, la movilidad y la protección del trabajo digno. Su fundamento constitucional se establece principalmente en los artículos </w:t>
      </w:r>
      <w:r>
        <w:rPr>
          <w:rFonts w:ascii="Arial Narrow" w:eastAsia="Arial Narrow" w:hAnsi="Arial Narrow" w:cs="Arial Narrow"/>
          <w:b/>
          <w:sz w:val="22"/>
          <w:szCs w:val="22"/>
        </w:rPr>
        <w:t>2, 11, 24, 26, 53 y 93</w:t>
      </w:r>
      <w:r>
        <w:rPr>
          <w:rFonts w:ascii="Arial Narrow" w:eastAsia="Arial Narrow" w:hAnsi="Arial Narrow" w:cs="Arial Narrow"/>
          <w:sz w:val="22"/>
          <w:szCs w:val="22"/>
        </w:rPr>
        <w:t xml:space="preserve"> de la Constitución Política de Colombia. Estos artículos refuerzan la obligación del Estado de proteger la vida e integridad de las personas, así como garantizar condiciones laborales seguras para quienes ejercen esta labor. La promoción de entornos laborales saludables y la prevención de la fatiga en los conductores se alinean con el deber constitucional de preservar los derechos fundamentales, especialmente cuando están en juego la vida humana y la seguridad colectiva.</w:t>
      </w:r>
    </w:p>
    <w:p w:rsidR="00D15A20" w:rsidRDefault="00D15A20">
      <w:pPr>
        <w:widowControl w:val="0"/>
        <w:tabs>
          <w:tab w:val="left" w:pos="284"/>
        </w:tabs>
        <w:ind w:left="720"/>
        <w:jc w:val="both"/>
        <w:rPr>
          <w:rFonts w:ascii="Arial Narrow" w:eastAsia="Arial Narrow" w:hAnsi="Arial Narrow" w:cs="Arial Narrow"/>
          <w:sz w:val="22"/>
          <w:szCs w:val="22"/>
          <w:highlight w:val="yellow"/>
        </w:rPr>
      </w:pPr>
    </w:p>
    <w:p w:rsidR="00D15A20" w:rsidRDefault="00BD1E10">
      <w:pPr>
        <w:pStyle w:val="Ttulo1"/>
        <w:numPr>
          <w:ilvl w:val="2"/>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De orden legal</w:t>
      </w:r>
    </w:p>
    <w:p w:rsidR="00D15A20" w:rsidRDefault="00D15A20">
      <w:pPr>
        <w:keepNext/>
        <w:keepLines/>
        <w:tabs>
          <w:tab w:val="left" w:pos="567"/>
          <w:tab w:val="left" w:pos="284"/>
        </w:tabs>
        <w:ind w:left="720"/>
        <w:jc w:val="both"/>
        <w:rPr>
          <w:rFonts w:ascii="Arial Narrow" w:eastAsia="Arial Narrow" w:hAnsi="Arial Narrow" w:cs="Arial Narrow"/>
          <w:sz w:val="22"/>
          <w:szCs w:val="22"/>
          <w:highlight w:val="yellow"/>
        </w:rPr>
      </w:pPr>
    </w:p>
    <w:p w:rsidR="00D15A20" w:rsidRDefault="00BD1E10">
      <w:pPr>
        <w:keepNext/>
        <w:keepLines/>
        <w:tabs>
          <w:tab w:val="left" w:pos="567"/>
          <w:tab w:val="left" w:pos="284"/>
        </w:tabs>
        <w:ind w:left="720"/>
        <w:jc w:val="both"/>
        <w:rPr>
          <w:rFonts w:ascii="Arial Narrow" w:eastAsia="Arial Narrow" w:hAnsi="Arial Narrow" w:cs="Arial Narrow"/>
          <w:sz w:val="22"/>
          <w:szCs w:val="22"/>
        </w:rPr>
      </w:pPr>
      <w:r>
        <w:rPr>
          <w:rFonts w:ascii="Arial Narrow" w:eastAsia="Arial Narrow" w:hAnsi="Arial Narrow" w:cs="Arial Narrow"/>
          <w:sz w:val="22"/>
          <w:szCs w:val="22"/>
        </w:rPr>
        <w:t xml:space="preserve">El </w:t>
      </w:r>
      <w:r>
        <w:rPr>
          <w:rFonts w:ascii="Arial Narrow" w:eastAsia="Arial Narrow" w:hAnsi="Arial Narrow" w:cs="Arial Narrow"/>
          <w:b/>
          <w:sz w:val="22"/>
          <w:szCs w:val="22"/>
        </w:rPr>
        <w:t>Proyecto de Acuerdo 471 de 2025</w:t>
      </w:r>
      <w:r>
        <w:rPr>
          <w:rFonts w:ascii="Arial Narrow" w:eastAsia="Arial Narrow" w:hAnsi="Arial Narrow" w:cs="Arial Narrow"/>
          <w:sz w:val="22"/>
          <w:szCs w:val="22"/>
        </w:rPr>
        <w:t xml:space="preserve"> cuenta con una fundamentación legal sólida basada en leyes nacionales, decretos reglamentarios y resoluciones técnicas que regulan la seguridad vial y las condiciones laborales del sector transporte. Las normas incluidas garantizan el derecho a la movilidad segura, la protección de la vida y la salud de los trabajadores del transporte, y fortalecen la capacidad institucional para prevenir riesgos asociados a la accidentalidad vial.</w:t>
      </w:r>
    </w:p>
    <w:p w:rsidR="00D15A20" w:rsidRDefault="00D15A20">
      <w:pPr>
        <w:keepNext/>
        <w:keepLines/>
        <w:tabs>
          <w:tab w:val="left" w:pos="567"/>
          <w:tab w:val="left" w:pos="284"/>
        </w:tabs>
        <w:ind w:left="720"/>
        <w:jc w:val="both"/>
        <w:rPr>
          <w:rFonts w:ascii="Arial Narrow" w:eastAsia="Arial Narrow" w:hAnsi="Arial Narrow" w:cs="Arial Narrow"/>
          <w:sz w:val="22"/>
          <w:szCs w:val="22"/>
        </w:rPr>
      </w:pPr>
    </w:p>
    <w:p w:rsidR="00D15A20" w:rsidRDefault="00BD1E10">
      <w:pPr>
        <w:keepNext/>
        <w:keepLines/>
        <w:tabs>
          <w:tab w:val="left" w:pos="567"/>
          <w:tab w:val="left" w:pos="284"/>
        </w:tabs>
        <w:ind w:left="720"/>
        <w:jc w:val="both"/>
        <w:rPr>
          <w:rFonts w:ascii="Arial Narrow" w:eastAsia="Arial Narrow" w:hAnsi="Arial Narrow" w:cs="Arial Narrow"/>
          <w:sz w:val="22"/>
          <w:szCs w:val="22"/>
        </w:rPr>
      </w:pPr>
      <w:r>
        <w:rPr>
          <w:rFonts w:ascii="Arial Narrow" w:eastAsia="Arial Narrow" w:hAnsi="Arial Narrow" w:cs="Arial Narrow"/>
          <w:sz w:val="22"/>
          <w:szCs w:val="22"/>
        </w:rPr>
        <w:t>Si bien la fundamentación legal del proyecto es sólida, resulta pertinente complementar el marco normativo con la legislación nacional que regula el tránsito terrestre y establece los parámetros de seguridad vial. Su inclusión garantiza que la implementación del proyecto se ajuste a los lineamientos establecidos a nivel nacional.</w:t>
      </w:r>
    </w:p>
    <w:p w:rsidR="00D15A20" w:rsidRDefault="00D15A20">
      <w:pPr>
        <w:keepNext/>
        <w:keepLines/>
        <w:tabs>
          <w:tab w:val="left" w:pos="567"/>
          <w:tab w:val="left" w:pos="284"/>
        </w:tabs>
        <w:ind w:left="720"/>
        <w:jc w:val="both"/>
        <w:rPr>
          <w:rFonts w:ascii="Arial Narrow" w:eastAsia="Arial Narrow" w:hAnsi="Arial Narrow" w:cs="Arial Narrow"/>
          <w:sz w:val="22"/>
          <w:szCs w:val="22"/>
        </w:rPr>
      </w:pPr>
    </w:p>
    <w:p w:rsidR="00D15A20" w:rsidRDefault="00BD1E10">
      <w:pPr>
        <w:keepNext/>
        <w:keepLines/>
        <w:tabs>
          <w:tab w:val="left" w:pos="567"/>
          <w:tab w:val="left" w:pos="284"/>
        </w:tabs>
        <w:ind w:left="720"/>
        <w:jc w:val="both"/>
        <w:rPr>
          <w:rFonts w:ascii="Arial Narrow" w:eastAsia="Arial Narrow" w:hAnsi="Arial Narrow" w:cs="Arial Narrow"/>
          <w:b/>
          <w:sz w:val="22"/>
          <w:szCs w:val="22"/>
        </w:rPr>
      </w:pPr>
      <w:r>
        <w:rPr>
          <w:rFonts w:ascii="Arial Narrow" w:eastAsia="Arial Narrow" w:hAnsi="Arial Narrow" w:cs="Arial Narrow"/>
          <w:b/>
          <w:sz w:val="22"/>
          <w:szCs w:val="22"/>
        </w:rPr>
        <w:t>Ley 769 de 2002 por la cual se expide el Código Nacional de Tránsito Terrestre</w:t>
      </w:r>
    </w:p>
    <w:p w:rsidR="00D15A20" w:rsidRDefault="00D15A20">
      <w:pPr>
        <w:keepNext/>
        <w:keepLines/>
        <w:tabs>
          <w:tab w:val="left" w:pos="567"/>
          <w:tab w:val="left" w:pos="284"/>
        </w:tabs>
        <w:ind w:left="720"/>
        <w:jc w:val="both"/>
        <w:rPr>
          <w:rFonts w:ascii="Arial Narrow" w:eastAsia="Arial Narrow" w:hAnsi="Arial Narrow" w:cs="Arial Narrow"/>
          <w:sz w:val="22"/>
          <w:szCs w:val="22"/>
        </w:rPr>
      </w:pPr>
    </w:p>
    <w:p w:rsidR="00D15A20" w:rsidRDefault="00BD1E10">
      <w:pPr>
        <w:numPr>
          <w:ilvl w:val="0"/>
          <w:numId w:val="4"/>
        </w:numPr>
        <w:pBdr>
          <w:top w:val="nil"/>
          <w:left w:val="nil"/>
          <w:bottom w:val="nil"/>
          <w:right w:val="nil"/>
          <w:between w:val="nil"/>
        </w:pBdr>
        <w:spacing w:line="276" w:lineRule="auto"/>
        <w:jc w:val="both"/>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Artículo 4. Parágrafo 1:</w:t>
      </w:r>
      <w:r>
        <w:rPr>
          <w:rFonts w:ascii="Arial Narrow" w:eastAsia="Arial Narrow" w:hAnsi="Arial Narrow" w:cs="Arial Narrow"/>
          <w:color w:val="000000"/>
          <w:sz w:val="22"/>
          <w:szCs w:val="22"/>
        </w:rPr>
        <w:t xml:space="preserve"> El Ministerio de Transporte deberá elaborar un plan nacional de seguridad vial para disminuir la accidentalidad en el país que sirva además como base para los planes departamentales, metropolitanos, distritales y municipales, de control de piratería e ilegalidad.</w:t>
      </w:r>
    </w:p>
    <w:p w:rsidR="00D15A20" w:rsidRDefault="00BD1E10">
      <w:pPr>
        <w:numPr>
          <w:ilvl w:val="0"/>
          <w:numId w:val="4"/>
        </w:numPr>
        <w:pBdr>
          <w:top w:val="nil"/>
          <w:left w:val="nil"/>
          <w:bottom w:val="nil"/>
          <w:right w:val="nil"/>
          <w:between w:val="nil"/>
        </w:pBdr>
        <w:spacing w:line="276" w:lineRule="auto"/>
        <w:jc w:val="both"/>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Artículo </w:t>
      </w:r>
      <w:bookmarkStart w:id="1" w:name="bookmark=id.trnacvfoaaer" w:colFirst="0" w:colLast="0"/>
      <w:bookmarkStart w:id="2" w:name="bookmark=id.nr8pol8d0nym" w:colFirst="0" w:colLast="0"/>
      <w:bookmarkEnd w:id="1"/>
      <w:bookmarkEnd w:id="2"/>
      <w:r>
        <w:rPr>
          <w:rFonts w:ascii="Arial Narrow" w:eastAsia="Arial Narrow" w:hAnsi="Arial Narrow" w:cs="Arial Narrow"/>
          <w:b/>
          <w:color w:val="000000"/>
          <w:sz w:val="22"/>
          <w:szCs w:val="22"/>
        </w:rPr>
        <w:t>50. Condiciones mecánicas y de seguridad.</w:t>
      </w:r>
      <w:r>
        <w:rPr>
          <w:rFonts w:ascii="Arial Narrow" w:eastAsia="Arial Narrow" w:hAnsi="Arial Narrow" w:cs="Arial Narrow"/>
          <w:color w:val="000000"/>
          <w:sz w:val="22"/>
          <w:szCs w:val="22"/>
        </w:rPr>
        <w:t xml:space="preserve">  Por razones de seguridad vial y de protección al ambiente, el propietario o tenedor del vehículo de placas nacionales o extranjeras, </w:t>
      </w:r>
      <w:r>
        <w:rPr>
          <w:rFonts w:ascii="Arial Narrow" w:eastAsia="Arial Narrow" w:hAnsi="Arial Narrow" w:cs="Arial Narrow"/>
          <w:color w:val="000000"/>
          <w:sz w:val="22"/>
          <w:szCs w:val="22"/>
        </w:rPr>
        <w:lastRenderedPageBreak/>
        <w:t>que transite por el territorio nacional, tendrá la obligación de mantenerlo en óptimas condiciones mecánicas y de seguridad.</w:t>
      </w:r>
    </w:p>
    <w:p w:rsidR="00D15A20" w:rsidRDefault="00BD1E10">
      <w:pPr>
        <w:numPr>
          <w:ilvl w:val="0"/>
          <w:numId w:val="4"/>
        </w:numPr>
        <w:pBdr>
          <w:top w:val="nil"/>
          <w:left w:val="nil"/>
          <w:bottom w:val="nil"/>
          <w:right w:val="nil"/>
          <w:between w:val="nil"/>
        </w:pBdr>
        <w:spacing w:line="276" w:lineRule="auto"/>
        <w:jc w:val="both"/>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Artículo 93-2. Corresponsabilidad de las empresas de transporte público.</w:t>
      </w:r>
      <w:r>
        <w:rPr>
          <w:rFonts w:ascii="Arial Narrow" w:eastAsia="Arial Narrow" w:hAnsi="Arial Narrow" w:cs="Arial Narrow"/>
          <w:color w:val="000000"/>
          <w:sz w:val="22"/>
          <w:szCs w:val="22"/>
        </w:rPr>
        <w:t> Las empresas de transporte público terrestre automotor, con el fin de que los conductores cumplan con la normatividad de tránsito, deberán contratar las capacitaciones necesarias para actualizar los conocimientos en materia de conducción y seguridad vial. (…)</w:t>
      </w:r>
    </w:p>
    <w:p w:rsidR="00D15A20" w:rsidRDefault="00D15A20">
      <w:pPr>
        <w:spacing w:line="276" w:lineRule="auto"/>
        <w:jc w:val="both"/>
        <w:rPr>
          <w:rFonts w:ascii="Arial Narrow" w:eastAsia="Arial Narrow" w:hAnsi="Arial Narrow" w:cs="Arial Narrow"/>
          <w:sz w:val="22"/>
          <w:szCs w:val="22"/>
        </w:rPr>
      </w:pPr>
    </w:p>
    <w:p w:rsidR="00D15A20" w:rsidRDefault="00BD1E10">
      <w:pPr>
        <w:tabs>
          <w:tab w:val="left" w:pos="284"/>
        </w:tabs>
        <w:spacing w:line="276" w:lineRule="auto"/>
        <w:ind w:left="720"/>
        <w:jc w:val="both"/>
        <w:rPr>
          <w:rFonts w:ascii="Arial Narrow" w:eastAsia="Arial Narrow" w:hAnsi="Arial Narrow" w:cs="Arial Narrow"/>
          <w:b/>
          <w:sz w:val="22"/>
          <w:szCs w:val="22"/>
        </w:rPr>
      </w:pPr>
      <w:r>
        <w:rPr>
          <w:rFonts w:ascii="Arial Narrow" w:eastAsia="Arial Narrow" w:hAnsi="Arial Narrow" w:cs="Arial Narrow"/>
          <w:b/>
          <w:sz w:val="22"/>
          <w:szCs w:val="22"/>
        </w:rPr>
        <w:t xml:space="preserve">Ley 1383 de 2010 Por la cual se reforma la Ley 769 de 2002 - Código Nacional de Tránsito, y se dictan otras disposiciones. </w:t>
      </w:r>
    </w:p>
    <w:p w:rsidR="00D15A20" w:rsidRDefault="00D15A20">
      <w:pPr>
        <w:tabs>
          <w:tab w:val="left" w:pos="284"/>
        </w:tabs>
        <w:spacing w:line="276" w:lineRule="auto"/>
        <w:ind w:left="720"/>
        <w:jc w:val="both"/>
        <w:rPr>
          <w:rFonts w:ascii="Arial Narrow" w:eastAsia="Arial Narrow" w:hAnsi="Arial Narrow" w:cs="Arial Narrow"/>
          <w:sz w:val="22"/>
          <w:szCs w:val="22"/>
        </w:rPr>
      </w:pPr>
    </w:p>
    <w:p w:rsidR="00D15A20" w:rsidRDefault="00BD1E10">
      <w:pPr>
        <w:tabs>
          <w:tab w:val="left" w:pos="284"/>
        </w:tabs>
        <w:spacing w:line="276" w:lineRule="auto"/>
        <w:ind w:left="720"/>
        <w:jc w:val="both"/>
        <w:rPr>
          <w:rFonts w:ascii="Arial Narrow" w:eastAsia="Arial Narrow" w:hAnsi="Arial Narrow" w:cs="Arial Narrow"/>
          <w:b/>
          <w:sz w:val="22"/>
          <w:szCs w:val="22"/>
        </w:rPr>
      </w:pPr>
      <w:r>
        <w:rPr>
          <w:rFonts w:ascii="Arial Narrow" w:eastAsia="Arial Narrow" w:hAnsi="Arial Narrow" w:cs="Arial Narrow"/>
          <w:b/>
          <w:sz w:val="22"/>
          <w:szCs w:val="22"/>
        </w:rPr>
        <w:t>Ley 1562 de 2012, por la cual se modifica el Sistema General de Riesgos Laborales y se dictan otras disposiciones en materia de salud ocupacional.</w:t>
      </w:r>
    </w:p>
    <w:p w:rsidR="00D15A20" w:rsidRDefault="00D15A20">
      <w:pPr>
        <w:keepNext/>
        <w:keepLines/>
        <w:tabs>
          <w:tab w:val="left" w:pos="567"/>
          <w:tab w:val="left" w:pos="284"/>
        </w:tabs>
        <w:ind w:left="720"/>
        <w:jc w:val="both"/>
        <w:rPr>
          <w:rFonts w:ascii="Arial Narrow" w:eastAsia="Arial Narrow" w:hAnsi="Arial Narrow" w:cs="Arial Narrow"/>
          <w:b/>
          <w:i/>
          <w:sz w:val="22"/>
          <w:szCs w:val="22"/>
        </w:rPr>
      </w:pPr>
    </w:p>
    <w:p w:rsidR="00D15A20" w:rsidRDefault="00BD1E10">
      <w:pPr>
        <w:numPr>
          <w:ilvl w:val="0"/>
          <w:numId w:val="4"/>
        </w:numPr>
        <w:pBdr>
          <w:top w:val="nil"/>
          <w:left w:val="nil"/>
          <w:bottom w:val="nil"/>
          <w:right w:val="nil"/>
          <w:between w:val="nil"/>
        </w:pBdr>
        <w:tabs>
          <w:tab w:val="left" w:pos="284"/>
        </w:tabs>
        <w:spacing w:line="276" w:lineRule="auto"/>
        <w:jc w:val="both"/>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Artículo 3°. Accidente de trabajo. </w:t>
      </w:r>
      <w:r>
        <w:rPr>
          <w:rFonts w:ascii="Arial Narrow" w:eastAsia="Arial Narrow" w:hAnsi="Arial Narrow" w:cs="Arial Narrow"/>
          <w:color w:val="000000"/>
          <w:sz w:val="22"/>
          <w:szCs w:val="22"/>
        </w:rPr>
        <w:t>Es accidente de trabajo todo suceso repentino que sobrevenga por causa o con ocasión del trabajo, y que produzca en el trabajador una lesión orgánica, una perturbación funcional o psiquiátrica, una invalidez o la muerte. Es también accidente de trabajo aquel que se produce durante la ejecución de órdenes del empleador, o contratante durante la ejecución de una labor bajo su autoridad, aún fuera del lugar y horas de trabajo.</w:t>
      </w:r>
    </w:p>
    <w:p w:rsidR="00D15A20" w:rsidRDefault="00D15A20">
      <w:pPr>
        <w:tabs>
          <w:tab w:val="left" w:pos="284"/>
        </w:tabs>
        <w:spacing w:line="276" w:lineRule="auto"/>
        <w:jc w:val="both"/>
        <w:rPr>
          <w:rFonts w:ascii="Arial Narrow" w:eastAsia="Arial Narrow" w:hAnsi="Arial Narrow" w:cs="Arial Narrow"/>
          <w:sz w:val="22"/>
          <w:szCs w:val="22"/>
        </w:rPr>
      </w:pPr>
    </w:p>
    <w:p w:rsidR="00D15A20" w:rsidRDefault="00BD1E10">
      <w:pPr>
        <w:tabs>
          <w:tab w:val="left" w:pos="284"/>
        </w:tabs>
        <w:spacing w:line="276" w:lineRule="auto"/>
        <w:ind w:left="720"/>
        <w:jc w:val="both"/>
        <w:rPr>
          <w:rFonts w:ascii="Arial Narrow" w:eastAsia="Arial Narrow" w:hAnsi="Arial Narrow" w:cs="Arial Narrow"/>
          <w:sz w:val="22"/>
          <w:szCs w:val="22"/>
        </w:rPr>
      </w:pPr>
      <w:r>
        <w:rPr>
          <w:rFonts w:ascii="Arial Narrow" w:eastAsia="Arial Narrow" w:hAnsi="Arial Narrow" w:cs="Arial Narrow"/>
          <w:b/>
          <w:sz w:val="22"/>
          <w:szCs w:val="22"/>
        </w:rPr>
        <w:t>Ley 1702 de 2013. Por la cual se crea la agencia nacional de seguridad vial y se dictan otras disposiciones.</w:t>
      </w:r>
    </w:p>
    <w:p w:rsidR="00D15A20" w:rsidRDefault="00D15A20">
      <w:pPr>
        <w:tabs>
          <w:tab w:val="left" w:pos="284"/>
        </w:tabs>
        <w:spacing w:line="276" w:lineRule="auto"/>
        <w:jc w:val="both"/>
        <w:rPr>
          <w:rFonts w:ascii="Arial Narrow" w:eastAsia="Arial Narrow" w:hAnsi="Arial Narrow" w:cs="Arial Narrow"/>
          <w:sz w:val="22"/>
          <w:szCs w:val="22"/>
        </w:rPr>
      </w:pPr>
    </w:p>
    <w:p w:rsidR="00D15A20" w:rsidRDefault="00BD1E10">
      <w:pPr>
        <w:numPr>
          <w:ilvl w:val="0"/>
          <w:numId w:val="4"/>
        </w:numPr>
        <w:pBdr>
          <w:top w:val="nil"/>
          <w:left w:val="nil"/>
          <w:bottom w:val="nil"/>
          <w:right w:val="nil"/>
          <w:between w:val="nil"/>
        </w:pBdr>
        <w:tabs>
          <w:tab w:val="left" w:pos="284"/>
        </w:tabs>
        <w:spacing w:line="276" w:lineRule="auto"/>
        <w:jc w:val="both"/>
        <w:rPr>
          <w:rFonts w:ascii="Arial Narrow" w:eastAsia="Arial Narrow" w:hAnsi="Arial Narrow" w:cs="Arial Narrow"/>
          <w:color w:val="000000"/>
          <w:sz w:val="22"/>
          <w:szCs w:val="22"/>
        </w:rPr>
      </w:pPr>
      <w:r>
        <w:rPr>
          <w:rFonts w:ascii="Arial Narrow" w:eastAsia="Arial Narrow" w:hAnsi="Arial Narrow" w:cs="Arial Narrow"/>
          <w:b/>
          <w:color w:val="000000"/>
          <w:sz w:val="22"/>
          <w:szCs w:val="22"/>
        </w:rPr>
        <w:t>Artículo 5°. Definiciones.</w:t>
      </w:r>
      <w:r>
        <w:rPr>
          <w:rFonts w:ascii="Arial Narrow" w:eastAsia="Arial Narrow" w:hAnsi="Arial Narrow" w:cs="Arial Narrow"/>
          <w:color w:val="000000"/>
          <w:sz w:val="22"/>
          <w:szCs w:val="22"/>
        </w:rPr>
        <w:t> Para la aplicación de la presente ley se tendrán en cuenta las siguientes definiciones:</w:t>
      </w:r>
    </w:p>
    <w:p w:rsidR="00D15A20" w:rsidRDefault="00D15A20">
      <w:pPr>
        <w:pBdr>
          <w:top w:val="nil"/>
          <w:left w:val="nil"/>
          <w:bottom w:val="nil"/>
          <w:right w:val="nil"/>
          <w:between w:val="nil"/>
        </w:pBdr>
        <w:tabs>
          <w:tab w:val="left" w:pos="284"/>
        </w:tabs>
        <w:spacing w:line="276" w:lineRule="auto"/>
        <w:ind w:left="1800"/>
        <w:jc w:val="both"/>
        <w:rPr>
          <w:rFonts w:ascii="Arial Narrow" w:eastAsia="Arial Narrow" w:hAnsi="Arial Narrow" w:cs="Arial Narrow"/>
          <w:color w:val="000000"/>
          <w:sz w:val="22"/>
          <w:szCs w:val="22"/>
        </w:rPr>
      </w:pPr>
    </w:p>
    <w:p w:rsidR="00D15A20" w:rsidRDefault="00BD1E10">
      <w:pPr>
        <w:pBdr>
          <w:top w:val="nil"/>
          <w:left w:val="nil"/>
          <w:bottom w:val="nil"/>
          <w:right w:val="nil"/>
          <w:between w:val="nil"/>
        </w:pBdr>
        <w:tabs>
          <w:tab w:val="left" w:pos="284"/>
        </w:tabs>
        <w:spacing w:line="276" w:lineRule="auto"/>
        <w:ind w:left="180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Seguridad Vial. Entiéndase por seguridad vial el conjunto de acciones y políticas dirigidas a prevenir, controlar y disminuir el riesgo de muerte o de lesión de las personas en sus desplazamientos ya sea en medios motorizados o no motorizados. Se trata de un enfoque multidisciplinario sobre medidas que intervienen en todos los factores que contribuyen a los accidentes de tráfico en la vía, desde el diseño de la vía y equipamiento vial, el mantenimiento de las infraestructuras viales, la regulación del tráfico, el diseño de vehículos y los elementos de protección activa y pasiva, la inspección vehicular, la formación de conductores y los reglamentos de conductores, la educación e información de los usuarios de las vías, la supervisión policial y las sanciones, la gestión institucional hasta la atención a las víctimas.</w:t>
      </w:r>
    </w:p>
    <w:p w:rsidR="00D15A20" w:rsidRDefault="00D15A20">
      <w:pPr>
        <w:tabs>
          <w:tab w:val="left" w:pos="284"/>
        </w:tabs>
        <w:spacing w:line="276" w:lineRule="auto"/>
        <w:jc w:val="both"/>
        <w:rPr>
          <w:rFonts w:ascii="Arial Narrow" w:eastAsia="Arial Narrow" w:hAnsi="Arial Narrow" w:cs="Arial Narrow"/>
          <w:sz w:val="22"/>
          <w:szCs w:val="22"/>
        </w:rPr>
      </w:pPr>
    </w:p>
    <w:p w:rsidR="00D15A20" w:rsidRDefault="00BD1E10">
      <w:pPr>
        <w:pStyle w:val="Ttulo1"/>
        <w:numPr>
          <w:ilvl w:val="0"/>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lastRenderedPageBreak/>
        <w:t xml:space="preserve">CONVENIENCIA </w:t>
      </w:r>
    </w:p>
    <w:p w:rsidR="00D15A20" w:rsidRDefault="00D15A20">
      <w:pPr>
        <w:rPr>
          <w:rFonts w:ascii="Arial Narrow" w:eastAsia="Arial Narrow" w:hAnsi="Arial Narrow" w:cs="Arial Narrow"/>
        </w:rPr>
      </w:pPr>
    </w:p>
    <w:p w:rsidR="00D15A20" w:rsidRDefault="00BD1E10">
      <w:pPr>
        <w:pStyle w:val="Ttulo1"/>
        <w:numPr>
          <w:ilvl w:val="1"/>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SEGÚN EL AUTOR DE LA INICIATIVA</w:t>
      </w:r>
    </w:p>
    <w:p w:rsidR="00D15A20" w:rsidRDefault="00D15A20">
      <w:pPr>
        <w:pStyle w:val="Ttulo1"/>
        <w:tabs>
          <w:tab w:val="left" w:pos="284"/>
        </w:tabs>
        <w:ind w:left="360" w:firstLine="0"/>
        <w:jc w:val="left"/>
        <w:rPr>
          <w:rFonts w:ascii="Arial Narrow" w:eastAsia="Arial Narrow" w:hAnsi="Arial Narrow" w:cs="Arial Narrow"/>
          <w:b/>
          <w:sz w:val="22"/>
          <w:szCs w:val="22"/>
          <w:highlight w:val="yellow"/>
        </w:rPr>
      </w:pPr>
    </w:p>
    <w:p w:rsidR="00D15A20" w:rsidRDefault="00BD1E10">
      <w:pPr>
        <w:ind w:left="360"/>
        <w:jc w:val="both"/>
        <w:rPr>
          <w:rFonts w:ascii="Arial Narrow" w:eastAsia="Arial Narrow" w:hAnsi="Arial Narrow" w:cs="Arial Narrow"/>
          <w:sz w:val="22"/>
          <w:szCs w:val="22"/>
        </w:rPr>
      </w:pPr>
      <w:r>
        <w:rPr>
          <w:rFonts w:ascii="Arial Narrow" w:eastAsia="Arial Narrow" w:hAnsi="Arial Narrow" w:cs="Arial Narrow"/>
          <w:sz w:val="22"/>
          <w:szCs w:val="22"/>
        </w:rPr>
        <w:t>La conveniencia del Proyecto de Acuerdo 471 de 2025 "Por el cual se establece un protocolo para gestionar la fatiga y cansancio en los conductores que operan en los terminales de transporte terrestre automotor de pasajeros por carretera y se dictan otras disposiciones”, se encuentra sustentado en el numera IV. Justificación del Proyecto de Acuerdo, a continuación, los apartados relevantes expuestos por el autor:</w:t>
      </w:r>
    </w:p>
    <w:p w:rsidR="00D15A20" w:rsidRDefault="00D15A20">
      <w:pPr>
        <w:ind w:left="360"/>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La justificación del Proyecto de Acuerdo No. 471 de 2025 se construye a partir de un análisis técnico y contextual del funcionamiento del transporte intermunicipal en Bogotá, resaltando la urgencia de establecer un protocolo que permita identificar, prevenir y controlar la fatiga y el cansancio de los conductores que operan en las terminales de transporte del Distrito Capital.</w:t>
      </w:r>
    </w:p>
    <w:p w:rsidR="00D15A20" w:rsidRDefault="00D15A20">
      <w:pPr>
        <w:ind w:left="720"/>
        <w:jc w:val="both"/>
        <w:rPr>
          <w:rFonts w:ascii="Arial Narrow" w:eastAsia="Arial Narrow" w:hAnsi="Arial Narrow" w:cs="Arial Narrow"/>
          <w:sz w:val="22"/>
          <w:szCs w:val="22"/>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 el análisis se estructura de la siguiente manera: En primera instancia se describe el funcionamiento del transporte terrestre intermunicipal en Colombia, en segunda instancia, se señala la importancia de gestionar la fatiga y el cansancio en los conductores (...), en una tercera instancia se presentan las estadísticas sobre los informes de siniestros viales (...) y por último, se mencionan los múltiples desafíos en materia operativa (...)”.</w:t>
      </w:r>
    </w:p>
    <w:p w:rsidR="00D15A20" w:rsidRDefault="00D15A20">
      <w:pPr>
        <w:ind w:left="720"/>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Se resalta que el modelo de operación del transporte intermunicipal, en el que conviven múltiples empresas de transporte en las terminales de la ciudad, traslada la presión operativa directamente sobre los conductores:</w:t>
      </w:r>
    </w:p>
    <w:p w:rsidR="00D15A20" w:rsidRDefault="00D15A20">
      <w:pPr>
        <w:ind w:left="720"/>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 los riesgos directos recaen sobre los conductores, quienes asumen la responsabilidad final del traslado seguro de los usuarios.”</w:t>
      </w:r>
    </w:p>
    <w:p w:rsidR="00D15A20" w:rsidRDefault="00D15A20">
      <w:pPr>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 xml:space="preserve">La justificación también destaca avances en política pública local como la adopción de la estrategia </w:t>
      </w:r>
      <w:r>
        <w:rPr>
          <w:rFonts w:ascii="Arial Narrow" w:eastAsia="Arial Narrow" w:hAnsi="Arial Narrow" w:cs="Arial Narrow"/>
          <w:b/>
          <w:sz w:val="22"/>
          <w:szCs w:val="22"/>
        </w:rPr>
        <w:t>Visión Cero</w:t>
      </w:r>
      <w:r>
        <w:rPr>
          <w:rFonts w:ascii="Arial Narrow" w:eastAsia="Arial Narrow" w:hAnsi="Arial Narrow" w:cs="Arial Narrow"/>
          <w:sz w:val="22"/>
          <w:szCs w:val="22"/>
        </w:rPr>
        <w:t xml:space="preserve"> en Bogotá desde 2016:</w:t>
      </w:r>
    </w:p>
    <w:p w:rsidR="00D15A20" w:rsidRDefault="00D15A20">
      <w:pPr>
        <w:ind w:left="720"/>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 reducir a cero el número de víctimas fatales y heridos graves en siniestros viales en la ciudad mediante el enfoque de Sistema Seguro.”</w:t>
      </w:r>
    </w:p>
    <w:p w:rsidR="00D15A20" w:rsidRDefault="00D15A20">
      <w:pPr>
        <w:ind w:left="720"/>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 xml:space="preserve">Asimismo, se valoran los aportes de la </w:t>
      </w:r>
      <w:r>
        <w:rPr>
          <w:rFonts w:ascii="Arial Narrow" w:eastAsia="Arial Narrow" w:hAnsi="Arial Narrow" w:cs="Arial Narrow"/>
          <w:b/>
          <w:sz w:val="22"/>
          <w:szCs w:val="22"/>
        </w:rPr>
        <w:t>Red Empresarial de Seguridad Vial</w:t>
      </w:r>
      <w:r>
        <w:rPr>
          <w:rFonts w:ascii="Arial Narrow" w:eastAsia="Arial Narrow" w:hAnsi="Arial Narrow" w:cs="Arial Narrow"/>
          <w:sz w:val="22"/>
          <w:szCs w:val="22"/>
        </w:rPr>
        <w:t xml:space="preserve">, liderada por la Secretaría Distrital de Movilidad, con talleres, materiales pedagógicos y cartillas. En especial, se hace referencia a la </w:t>
      </w:r>
      <w:r>
        <w:rPr>
          <w:rFonts w:ascii="Arial Narrow" w:eastAsia="Arial Narrow" w:hAnsi="Arial Narrow" w:cs="Arial Narrow"/>
          <w:i/>
          <w:sz w:val="22"/>
          <w:szCs w:val="22"/>
        </w:rPr>
        <w:t>Cartilla 7 – Control de la Fatiga en el Transporte Público</w:t>
      </w:r>
      <w:r>
        <w:rPr>
          <w:rFonts w:ascii="Arial Narrow" w:eastAsia="Arial Narrow" w:hAnsi="Arial Narrow" w:cs="Arial Narrow"/>
          <w:sz w:val="22"/>
          <w:szCs w:val="22"/>
        </w:rPr>
        <w:t>, donde se advierte:</w:t>
      </w:r>
    </w:p>
    <w:p w:rsidR="00D15A20" w:rsidRDefault="00D15A20">
      <w:pPr>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 la fatiga provoca pérdida de paciencia, microsueños y dificultad para calcular distancias (...), por ello se debe evitar manejar con sueño o estrés para prevenir accidentes.”</w:t>
      </w:r>
    </w:p>
    <w:p w:rsidR="00D15A20" w:rsidRDefault="00D15A20">
      <w:pPr>
        <w:ind w:left="720"/>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highlight w:val="yellow"/>
        </w:rPr>
      </w:pPr>
      <w:r>
        <w:rPr>
          <w:rFonts w:ascii="Arial Narrow" w:eastAsia="Arial Narrow" w:hAnsi="Arial Narrow" w:cs="Arial Narrow"/>
          <w:sz w:val="22"/>
          <w:szCs w:val="22"/>
        </w:rPr>
        <w:t>Entre las recomendaciones del material técnico se destacan:</w:t>
      </w:r>
    </w:p>
    <w:p w:rsidR="00D15A20" w:rsidRDefault="00D15A20">
      <w:pPr>
        <w:ind w:left="720"/>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lastRenderedPageBreak/>
        <w:t>“(...) hacer pausas de 15 minutos cada 2 horas de conducción, no manejar más de 8 horas al día, mantener buena ventilación en la cabina (...)”.</w:t>
      </w:r>
    </w:p>
    <w:p w:rsidR="00D15A20" w:rsidRDefault="00D15A20">
      <w:pPr>
        <w:ind w:left="720"/>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El documento también proporciona datos sobre siniestralidad vial asociada a condiciones de fatiga. Según el análisis presentado:</w:t>
      </w:r>
    </w:p>
    <w:p w:rsidR="00D15A20" w:rsidRDefault="00D15A20">
      <w:pPr>
        <w:ind w:left="720"/>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 en 2023 se registraron aproximadamente 200 siniestros viales con participación de transporte intermunicipal en Bogotá, 350 en Cundinamarca y 22 fallecimientos en siniestros reportados en corredores de ingreso y salida de Bogotá. En 2024 van 4 víctimas fatales.”</w:t>
      </w:r>
    </w:p>
    <w:p w:rsidR="00D15A20" w:rsidRDefault="00D15A20">
      <w:pPr>
        <w:ind w:left="720"/>
        <w:jc w:val="both"/>
        <w:rPr>
          <w:rFonts w:ascii="Arial Narrow" w:eastAsia="Arial Narrow" w:hAnsi="Arial Narrow" w:cs="Arial Narrow"/>
          <w:sz w:val="22"/>
          <w:szCs w:val="22"/>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Se indica además que:</w:t>
      </w:r>
    </w:p>
    <w:p w:rsidR="00D15A20" w:rsidRDefault="00D15A20">
      <w:pPr>
        <w:ind w:left="720"/>
        <w:jc w:val="both"/>
        <w:rPr>
          <w:rFonts w:ascii="Arial Narrow" w:eastAsia="Arial Narrow" w:hAnsi="Arial Narrow" w:cs="Arial Narrow"/>
          <w:sz w:val="22"/>
          <w:szCs w:val="22"/>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 el 65% de los conductores en rutas aledañas a Bogotá trabajan más de 12 horas diarias.”</w:t>
      </w:r>
    </w:p>
    <w:p w:rsidR="00D15A20" w:rsidRDefault="00D15A20">
      <w:pPr>
        <w:jc w:val="both"/>
        <w:rPr>
          <w:rFonts w:ascii="Arial Narrow" w:eastAsia="Arial Narrow" w:hAnsi="Arial Narrow" w:cs="Arial Narrow"/>
          <w:sz w:val="22"/>
          <w:szCs w:val="22"/>
          <w:highlight w:val="yellow"/>
        </w:rPr>
      </w:pP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Esto refleja un patrón de exposición prolongada al volante, sin pausas adecuadas, y condiciones que incrementan significativamente el riesgo de fatiga y accidentes. También se identifican zonas críticas de alta siniestralidad como Soacha, Facatativá, Mosquera, Funza y Girardot, con causas combinadas: fatiga, velocidad, niebla, mal estado de la vía y peatones expuestos en la calzada.</w:t>
      </w:r>
    </w:p>
    <w:p w:rsidR="00D15A20" w:rsidRDefault="00D15A20">
      <w:pPr>
        <w:keepNext/>
        <w:keepLines/>
        <w:tabs>
          <w:tab w:val="left" w:pos="567"/>
          <w:tab w:val="left" w:pos="284"/>
        </w:tabs>
        <w:ind w:left="720"/>
        <w:jc w:val="both"/>
        <w:rPr>
          <w:rFonts w:ascii="Arial Narrow" w:eastAsia="Arial Narrow" w:hAnsi="Arial Narrow" w:cs="Arial Narrow"/>
          <w:sz w:val="22"/>
          <w:szCs w:val="22"/>
          <w:highlight w:val="yellow"/>
        </w:rPr>
      </w:pPr>
    </w:p>
    <w:p w:rsidR="00D15A20" w:rsidRDefault="00BD1E10">
      <w:pPr>
        <w:pStyle w:val="Ttulo1"/>
        <w:numPr>
          <w:ilvl w:val="1"/>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 xml:space="preserve">CONSIDERACIONES DEL PONENTE SOBRE LA CONVENIENCIA. </w:t>
      </w:r>
    </w:p>
    <w:p w:rsidR="00D15A20" w:rsidRDefault="00D15A20">
      <w:pPr>
        <w:jc w:val="both"/>
        <w:rPr>
          <w:rFonts w:ascii="Arial Narrow" w:eastAsia="Arial Narrow" w:hAnsi="Arial Narrow" w:cs="Arial Narrow"/>
          <w:b/>
          <w:sz w:val="22"/>
          <w:szCs w:val="22"/>
          <w:highlight w:val="yellow"/>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El Proyecto de Acuerdo 471 de 2025, que propone "Por el cual se establece un protocolo para gestionar la fatiga y cansancio en los conductores que operan en los terminales de transporte terrestre automotor de pasajeros por carretera y se dictan otras disposiciones”, se sustenta en datos y experiencias que respaldan la necesidad de este tipo de iniciativas. En complemento a lo expuesto por el autor se presentan los siguientes argumentos:</w:t>
      </w:r>
    </w:p>
    <w:p w:rsidR="00D15A20" w:rsidRDefault="00D15A20">
      <w:pPr>
        <w:jc w:val="both"/>
        <w:rPr>
          <w:rFonts w:ascii="Arial Narrow" w:eastAsia="Arial Narrow" w:hAnsi="Arial Narrow" w:cs="Arial Narrow"/>
          <w:sz w:val="22"/>
          <w:szCs w:val="22"/>
          <w:highlight w:val="yellow"/>
        </w:rPr>
      </w:pPr>
    </w:p>
    <w:p w:rsidR="00D15A20" w:rsidRDefault="00BD1E10">
      <w:pPr>
        <w:numPr>
          <w:ilvl w:val="0"/>
          <w:numId w:val="3"/>
        </w:numPr>
        <w:pBdr>
          <w:top w:val="nil"/>
          <w:left w:val="nil"/>
          <w:bottom w:val="nil"/>
          <w:right w:val="nil"/>
          <w:between w:val="nil"/>
        </w:pBdr>
        <w:shd w:val="clear" w:color="auto" w:fill="FFFFFF"/>
        <w:ind w:left="36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Un estudio de Loughborough University</w:t>
      </w:r>
      <w:r>
        <w:rPr>
          <w:rFonts w:ascii="Arial Narrow" w:eastAsia="Arial Narrow" w:hAnsi="Arial Narrow" w:cs="Arial Narrow"/>
          <w:color w:val="000000"/>
          <w:sz w:val="22"/>
          <w:szCs w:val="22"/>
          <w:vertAlign w:val="superscript"/>
        </w:rPr>
        <w:footnoteReference w:id="2"/>
      </w:r>
      <w:r>
        <w:rPr>
          <w:rFonts w:ascii="Arial Narrow" w:eastAsia="Arial Narrow" w:hAnsi="Arial Narrow" w:cs="Arial Narrow"/>
          <w:color w:val="000000"/>
          <w:sz w:val="22"/>
          <w:szCs w:val="22"/>
        </w:rPr>
        <w:t xml:space="preserve"> sobre la fatiga en conductores de autobuses identificó factores como turnos extensos, falta de descansos adecuados y presiones operativas como contribuyentes significativos a la fatiga. Este estudio recomienda la necesidad de implementar políticas de gestión de la fatiga y mejorar las condiciones laborales para mitigar estos riesgos.</w:t>
      </w:r>
    </w:p>
    <w:p w:rsidR="00D15A20" w:rsidRDefault="00BD1E10">
      <w:pPr>
        <w:numPr>
          <w:ilvl w:val="0"/>
          <w:numId w:val="3"/>
        </w:numPr>
        <w:pBdr>
          <w:top w:val="nil"/>
          <w:left w:val="nil"/>
          <w:bottom w:val="nil"/>
          <w:right w:val="nil"/>
          <w:between w:val="nil"/>
        </w:pBdr>
        <w:shd w:val="clear" w:color="auto" w:fill="FFFFFF"/>
        <w:ind w:left="360"/>
        <w:jc w:val="both"/>
        <w:rPr>
          <w:rFonts w:ascii="Arial Narrow" w:eastAsia="Arial Narrow" w:hAnsi="Arial Narrow" w:cs="Arial Narrow"/>
          <w:color w:val="000000"/>
          <w:sz w:val="22"/>
          <w:szCs w:val="22"/>
        </w:rPr>
      </w:pPr>
      <w:r>
        <w:rPr>
          <w:rFonts w:ascii="Arial Narrow" w:eastAsia="Arial Narrow" w:hAnsi="Arial Narrow" w:cs="Arial Narrow"/>
          <w:color w:val="000000"/>
          <w:sz w:val="22"/>
          <w:szCs w:val="22"/>
        </w:rPr>
        <w:t xml:space="preserve">El estudio de la OCDE </w:t>
      </w:r>
      <w:r>
        <w:rPr>
          <w:rFonts w:ascii="Arial Narrow" w:eastAsia="Arial Narrow" w:hAnsi="Arial Narrow" w:cs="Arial Narrow"/>
          <w:i/>
          <w:color w:val="000000"/>
          <w:sz w:val="22"/>
          <w:szCs w:val="22"/>
        </w:rPr>
        <w:t>“Jóvenes Conductores: El camino hacia la seguridad”</w:t>
      </w:r>
      <w:r>
        <w:rPr>
          <w:rFonts w:ascii="Arial Narrow" w:eastAsia="Arial Narrow" w:hAnsi="Arial Narrow" w:cs="Arial Narrow"/>
          <w:i/>
          <w:color w:val="000000"/>
          <w:sz w:val="22"/>
          <w:szCs w:val="22"/>
          <w:vertAlign w:val="superscript"/>
        </w:rPr>
        <w:t xml:space="preserve"> </w:t>
      </w:r>
      <w:r>
        <w:rPr>
          <w:rFonts w:ascii="Arial Narrow" w:eastAsia="Arial Narrow" w:hAnsi="Arial Narrow" w:cs="Arial Narrow"/>
          <w:i/>
          <w:color w:val="000000"/>
          <w:sz w:val="22"/>
          <w:szCs w:val="22"/>
          <w:vertAlign w:val="superscript"/>
        </w:rPr>
        <w:footnoteReference w:id="3"/>
      </w:r>
      <w:r>
        <w:rPr>
          <w:rFonts w:ascii="Arial Narrow" w:eastAsia="Arial Narrow" w:hAnsi="Arial Narrow" w:cs="Arial Narrow"/>
          <w:color w:val="000000"/>
          <w:sz w:val="22"/>
          <w:szCs w:val="22"/>
        </w:rPr>
        <w:t xml:space="preserve"> establece conclusiones relevantes sobre la fatiga y el cansancio en la conducción, las cuales respaldan la necesidad de implementar medidas preventivas como las propuestas en el Proyecto de Acuerdo 471 de 2025. Entre las principales afirmaciones del informe se destacan las siguientes:</w:t>
      </w:r>
    </w:p>
    <w:p w:rsidR="00D15A20" w:rsidRDefault="00D15A20">
      <w:pPr>
        <w:jc w:val="both"/>
        <w:rPr>
          <w:rFonts w:ascii="Arial Narrow" w:eastAsia="Arial Narrow" w:hAnsi="Arial Narrow" w:cs="Arial Narrow"/>
          <w:sz w:val="22"/>
          <w:szCs w:val="22"/>
        </w:rPr>
      </w:pPr>
    </w:p>
    <w:p w:rsidR="00D15A20" w:rsidRDefault="00BD1E10">
      <w:pPr>
        <w:numPr>
          <w:ilvl w:val="0"/>
          <w:numId w:val="8"/>
        </w:numPr>
        <w:jc w:val="both"/>
        <w:rPr>
          <w:rFonts w:ascii="Arial Narrow" w:eastAsia="Arial Narrow" w:hAnsi="Arial Narrow" w:cs="Arial Narrow"/>
          <w:sz w:val="22"/>
          <w:szCs w:val="22"/>
        </w:rPr>
      </w:pPr>
      <w:r>
        <w:rPr>
          <w:rFonts w:ascii="Arial Narrow" w:eastAsia="Arial Narrow" w:hAnsi="Arial Narrow" w:cs="Arial Narrow"/>
          <w:i/>
          <w:sz w:val="22"/>
          <w:szCs w:val="22"/>
        </w:rPr>
        <w:t>“Se ha demostrado que el cansancio es una causa subyacente importante responsable de muchas colisiones.”</w:t>
      </w:r>
      <w:r>
        <w:rPr>
          <w:rFonts w:ascii="Arial Narrow" w:eastAsia="Arial Narrow" w:hAnsi="Arial Narrow" w:cs="Arial Narrow"/>
          <w:sz w:val="22"/>
          <w:szCs w:val="22"/>
        </w:rPr>
        <w:t xml:space="preserve"> Además, </w:t>
      </w:r>
      <w:r>
        <w:rPr>
          <w:rFonts w:ascii="Arial Narrow" w:eastAsia="Arial Narrow" w:hAnsi="Arial Narrow" w:cs="Arial Narrow"/>
          <w:i/>
          <w:sz w:val="22"/>
          <w:szCs w:val="22"/>
        </w:rPr>
        <w:t>“el cansancio no solo lo provoca el número de horas detrás del volante (...), sino también el tiempo y la calidad del sueño (...) o las situaciones de estrés.”</w:t>
      </w:r>
    </w:p>
    <w:p w:rsidR="00D15A20" w:rsidRDefault="00BD1E10">
      <w:pPr>
        <w:numPr>
          <w:ilvl w:val="0"/>
          <w:numId w:val="8"/>
        </w:numPr>
        <w:jc w:val="both"/>
        <w:rPr>
          <w:rFonts w:ascii="Arial Narrow" w:eastAsia="Arial Narrow" w:hAnsi="Arial Narrow" w:cs="Arial Narrow"/>
          <w:sz w:val="22"/>
          <w:szCs w:val="22"/>
        </w:rPr>
      </w:pPr>
      <w:r>
        <w:rPr>
          <w:rFonts w:ascii="Arial Narrow" w:eastAsia="Arial Narrow" w:hAnsi="Arial Narrow" w:cs="Arial Narrow"/>
          <w:i/>
          <w:sz w:val="22"/>
          <w:szCs w:val="22"/>
        </w:rPr>
        <w:lastRenderedPageBreak/>
        <w:t>“Dormirse no es la única causa de las colisiones relacionadas con el cansancio (...) se ve aumentada la implicación en las colisiones debido a que ‘se conduce inconscientemente’, lo que significa que se conduce sin dedicar la atención necesaria a la tarea que se realiza.”</w:t>
      </w:r>
    </w:p>
    <w:p w:rsidR="00D15A20" w:rsidRDefault="00BD1E10">
      <w:pPr>
        <w:numPr>
          <w:ilvl w:val="0"/>
          <w:numId w:val="8"/>
        </w:numPr>
        <w:jc w:val="both"/>
        <w:rPr>
          <w:rFonts w:ascii="Arial Narrow" w:eastAsia="Arial Narrow" w:hAnsi="Arial Narrow" w:cs="Arial Narrow"/>
          <w:sz w:val="22"/>
          <w:szCs w:val="22"/>
        </w:rPr>
      </w:pPr>
      <w:r>
        <w:rPr>
          <w:rFonts w:ascii="Arial Narrow" w:eastAsia="Arial Narrow" w:hAnsi="Arial Narrow" w:cs="Arial Narrow"/>
          <w:i/>
          <w:sz w:val="22"/>
          <w:szCs w:val="22"/>
        </w:rPr>
        <w:t>“Otro factor subyacente al cansancio es si se conduce a las horas en las que normalmente el conductor esté despierto o dormido; en este último caso, hay más probabilidades de sufrir una colisión.”</w:t>
      </w:r>
    </w:p>
    <w:p w:rsidR="00D15A20" w:rsidRDefault="00BD1E10">
      <w:pPr>
        <w:numPr>
          <w:ilvl w:val="0"/>
          <w:numId w:val="8"/>
        </w:numPr>
        <w:jc w:val="both"/>
        <w:rPr>
          <w:rFonts w:ascii="Arial Narrow" w:eastAsia="Arial Narrow" w:hAnsi="Arial Narrow" w:cs="Arial Narrow"/>
          <w:sz w:val="22"/>
          <w:szCs w:val="22"/>
        </w:rPr>
      </w:pPr>
      <w:r>
        <w:rPr>
          <w:rFonts w:ascii="Arial Narrow" w:eastAsia="Arial Narrow" w:hAnsi="Arial Narrow" w:cs="Arial Narrow"/>
          <w:i/>
          <w:sz w:val="22"/>
          <w:szCs w:val="22"/>
        </w:rPr>
        <w:t>“El riesgo relativo de colisión en la conducción nocturna es mayor entre los jóvenes que entre los adultos de 25-65 años.”</w:t>
      </w:r>
    </w:p>
    <w:p w:rsidR="00D15A20" w:rsidRDefault="00BD1E10">
      <w:pPr>
        <w:numPr>
          <w:ilvl w:val="0"/>
          <w:numId w:val="8"/>
        </w:numPr>
        <w:jc w:val="both"/>
        <w:rPr>
          <w:rFonts w:ascii="Arial Narrow" w:eastAsia="Arial Narrow" w:hAnsi="Arial Narrow" w:cs="Arial Narrow"/>
          <w:sz w:val="22"/>
          <w:szCs w:val="22"/>
        </w:rPr>
      </w:pPr>
      <w:r>
        <w:rPr>
          <w:rFonts w:ascii="Arial Narrow" w:eastAsia="Arial Narrow" w:hAnsi="Arial Narrow" w:cs="Arial Narrow"/>
          <w:i/>
          <w:sz w:val="22"/>
          <w:szCs w:val="22"/>
        </w:rPr>
        <w:t>“Dependiendo del método utilizado (...), se estima que entre el 7% y el 30% de todos los siniestros personales con heridos son provocados por el cansancio o el sueño.”</w:t>
      </w:r>
    </w:p>
    <w:p w:rsidR="00D15A20" w:rsidRDefault="00BD1E10">
      <w:pPr>
        <w:numPr>
          <w:ilvl w:val="0"/>
          <w:numId w:val="8"/>
        </w:numPr>
        <w:jc w:val="both"/>
        <w:rPr>
          <w:rFonts w:ascii="Arial Narrow" w:eastAsia="Arial Narrow" w:hAnsi="Arial Narrow" w:cs="Arial Narrow"/>
          <w:sz w:val="22"/>
          <w:szCs w:val="22"/>
        </w:rPr>
      </w:pPr>
      <w:r>
        <w:rPr>
          <w:rFonts w:ascii="Arial Narrow" w:eastAsia="Arial Narrow" w:hAnsi="Arial Narrow" w:cs="Arial Narrow"/>
          <w:i/>
          <w:sz w:val="22"/>
          <w:szCs w:val="22"/>
        </w:rPr>
        <w:t>“Los conductores menores de 25 años son uno de los grupos que presenta un riesgo de siniestralidad por cansancio superior a la media.”</w:t>
      </w:r>
    </w:p>
    <w:p w:rsidR="00D15A20" w:rsidRDefault="00BD1E10">
      <w:pPr>
        <w:numPr>
          <w:ilvl w:val="0"/>
          <w:numId w:val="8"/>
        </w:numPr>
        <w:jc w:val="both"/>
        <w:rPr>
          <w:rFonts w:ascii="Arial Narrow" w:eastAsia="Arial Narrow" w:hAnsi="Arial Narrow" w:cs="Arial Narrow"/>
          <w:sz w:val="22"/>
          <w:szCs w:val="22"/>
        </w:rPr>
      </w:pPr>
      <w:r>
        <w:rPr>
          <w:rFonts w:ascii="Arial Narrow" w:eastAsia="Arial Narrow" w:hAnsi="Arial Narrow" w:cs="Arial Narrow"/>
          <w:i/>
          <w:sz w:val="22"/>
          <w:szCs w:val="22"/>
        </w:rPr>
        <w:t>“El cansancio afecta a muchos aspectos de la conducción, como la posición en la carretera, reacciones con cambios lentos de marchas y el ritmo de avance.”</w:t>
      </w:r>
      <w:r>
        <w:rPr>
          <w:rFonts w:ascii="Arial Narrow" w:eastAsia="Arial Narrow" w:hAnsi="Arial Narrow" w:cs="Arial Narrow"/>
          <w:sz w:val="22"/>
          <w:szCs w:val="22"/>
        </w:rPr>
        <w:br/>
      </w:r>
      <w:r>
        <w:rPr>
          <w:rFonts w:ascii="Arial Narrow" w:eastAsia="Arial Narrow" w:hAnsi="Arial Narrow" w:cs="Arial Narrow"/>
          <w:i/>
          <w:sz w:val="22"/>
          <w:szCs w:val="22"/>
        </w:rPr>
        <w:t>“Los conductores compensan su cansancio bien a través de aumentar las exigencias al volante (...) o disminuyéndolas, como conducir con marchas más largas. No obstante, estas compensaciones no son suficientes para eliminar el aumento del riesgo de colisión.”</w:t>
      </w:r>
    </w:p>
    <w:p w:rsidR="00D15A20" w:rsidRDefault="00D15A20">
      <w:pPr>
        <w:ind w:left="720"/>
        <w:jc w:val="both"/>
        <w:rPr>
          <w:rFonts w:ascii="Arial Narrow" w:eastAsia="Arial Narrow" w:hAnsi="Arial Narrow" w:cs="Arial Narrow"/>
          <w:sz w:val="22"/>
          <w:szCs w:val="22"/>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Los datos anteriores evidencian la importancia de establecer políticas preventivas que eviten siniestros viales y mejoren la seguridad, especialmente mediante la implementación de protocolos de control de la fatiga en conductores.</w:t>
      </w:r>
    </w:p>
    <w:p w:rsidR="00D15A20" w:rsidRDefault="00D15A20">
      <w:pPr>
        <w:pBdr>
          <w:top w:val="nil"/>
          <w:left w:val="nil"/>
          <w:bottom w:val="nil"/>
          <w:right w:val="nil"/>
          <w:between w:val="nil"/>
        </w:pBdr>
        <w:ind w:left="720"/>
        <w:jc w:val="both"/>
        <w:rPr>
          <w:rFonts w:ascii="Arial Narrow" w:eastAsia="Arial Narrow" w:hAnsi="Arial Narrow" w:cs="Arial Narrow"/>
          <w:color w:val="000000"/>
          <w:sz w:val="22"/>
          <w:szCs w:val="22"/>
          <w:highlight w:val="yellow"/>
        </w:rPr>
      </w:pPr>
    </w:p>
    <w:p w:rsidR="00D15A20" w:rsidRDefault="00BD1E10">
      <w:pPr>
        <w:pStyle w:val="Ttulo1"/>
        <w:numPr>
          <w:ilvl w:val="0"/>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COMENTARIOS DE LA ADMINISTRACIÓN</w:t>
      </w:r>
    </w:p>
    <w:p w:rsidR="00D15A20" w:rsidRDefault="00D15A20">
      <w:pPr>
        <w:pBdr>
          <w:top w:val="nil"/>
          <w:left w:val="nil"/>
          <w:bottom w:val="nil"/>
          <w:right w:val="nil"/>
          <w:between w:val="nil"/>
        </w:pBdr>
        <w:jc w:val="both"/>
        <w:rPr>
          <w:rFonts w:ascii="Arial Narrow" w:eastAsia="Arial Narrow" w:hAnsi="Arial Narrow" w:cs="Arial Narrow"/>
          <w:sz w:val="22"/>
          <w:szCs w:val="22"/>
        </w:rPr>
      </w:pPr>
    </w:p>
    <w:p w:rsidR="00D15A20" w:rsidRDefault="00BD1E10">
      <w:pPr>
        <w:pBdr>
          <w:top w:val="nil"/>
          <w:left w:val="nil"/>
          <w:bottom w:val="nil"/>
          <w:right w:val="nil"/>
          <w:between w:val="nil"/>
        </w:pBdr>
        <w:jc w:val="both"/>
        <w:rPr>
          <w:rFonts w:ascii="Arial Narrow" w:eastAsia="Arial Narrow" w:hAnsi="Arial Narrow" w:cs="Arial Narrow"/>
          <w:sz w:val="22"/>
          <w:szCs w:val="22"/>
        </w:rPr>
      </w:pPr>
      <w:r>
        <w:rPr>
          <w:rFonts w:ascii="Arial Narrow" w:eastAsia="Arial Narrow" w:hAnsi="Arial Narrow" w:cs="Arial Narrow"/>
          <w:sz w:val="22"/>
          <w:szCs w:val="22"/>
        </w:rPr>
        <w:t>A la fecha de radicación de la presente ponencia, no se recibieron comentarios por parte de la Administración Distrital, en referencia a esta iniciativa.</w:t>
      </w:r>
    </w:p>
    <w:p w:rsidR="00D15A20" w:rsidRDefault="00D15A20">
      <w:pPr>
        <w:pBdr>
          <w:top w:val="nil"/>
          <w:left w:val="nil"/>
          <w:bottom w:val="nil"/>
          <w:right w:val="nil"/>
          <w:between w:val="nil"/>
        </w:pBdr>
        <w:jc w:val="both"/>
        <w:rPr>
          <w:rFonts w:ascii="Arial Narrow" w:eastAsia="Arial Narrow" w:hAnsi="Arial Narrow" w:cs="Arial Narrow"/>
          <w:sz w:val="22"/>
          <w:szCs w:val="22"/>
          <w:highlight w:val="yellow"/>
        </w:rPr>
      </w:pPr>
    </w:p>
    <w:p w:rsidR="00D15A20" w:rsidRDefault="00BD1E10">
      <w:pPr>
        <w:pStyle w:val="Ttulo1"/>
        <w:numPr>
          <w:ilvl w:val="0"/>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ANÁLISIS DEL IMPACTO FISCAL</w:t>
      </w:r>
    </w:p>
    <w:p w:rsidR="00D15A20" w:rsidRDefault="00D15A20">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b/>
          <w:sz w:val="22"/>
          <w:szCs w:val="22"/>
        </w:rPr>
      </w:pPr>
    </w:p>
    <w:p w:rsidR="00D15A20" w:rsidRDefault="00BD1E10">
      <w:pPr>
        <w:pStyle w:val="Ttulo1"/>
        <w:numPr>
          <w:ilvl w:val="1"/>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SEGÚN EL AUTOR DE LA INICIATIVA</w:t>
      </w:r>
    </w:p>
    <w:p w:rsidR="00D15A20" w:rsidRDefault="00D15A20">
      <w:pPr>
        <w:shd w:val="clear" w:color="auto" w:fill="FFFFFF"/>
        <w:jc w:val="both"/>
        <w:rPr>
          <w:rFonts w:ascii="Arial Narrow" w:eastAsia="Arial Narrow" w:hAnsi="Arial Narrow" w:cs="Arial Narrow"/>
          <w:sz w:val="22"/>
          <w:szCs w:val="22"/>
          <w:highlight w:val="yellow"/>
        </w:rPr>
      </w:pPr>
    </w:p>
    <w:p w:rsidR="00D15A20" w:rsidRDefault="00BD1E10">
      <w:pPr>
        <w:shd w:val="clear" w:color="auto" w:fill="FFFFFF"/>
        <w:jc w:val="both"/>
        <w:rPr>
          <w:rFonts w:ascii="Arial Narrow" w:eastAsia="Arial Narrow" w:hAnsi="Arial Narrow" w:cs="Arial Narrow"/>
          <w:sz w:val="22"/>
          <w:szCs w:val="22"/>
        </w:rPr>
      </w:pPr>
      <w:r>
        <w:rPr>
          <w:rFonts w:ascii="Arial Narrow" w:eastAsia="Arial Narrow" w:hAnsi="Arial Narrow" w:cs="Arial Narrow"/>
          <w:sz w:val="22"/>
          <w:szCs w:val="22"/>
        </w:rPr>
        <w:t>El autor sustenta el impacto fiscal en la sección de VI. Impacto Fiscal:</w:t>
      </w:r>
    </w:p>
    <w:p w:rsidR="00D15A20" w:rsidRDefault="00D15A20">
      <w:pPr>
        <w:shd w:val="clear" w:color="auto" w:fill="FFFFFF"/>
        <w:ind w:left="720"/>
        <w:jc w:val="both"/>
        <w:rPr>
          <w:rFonts w:ascii="Arial Narrow" w:eastAsia="Arial Narrow" w:hAnsi="Arial Narrow" w:cs="Arial Narrow"/>
          <w:i/>
          <w:sz w:val="22"/>
          <w:szCs w:val="22"/>
        </w:rPr>
      </w:pPr>
    </w:p>
    <w:p w:rsidR="00D15A20" w:rsidRDefault="00BD1E10">
      <w:pPr>
        <w:ind w:left="720"/>
        <w:rPr>
          <w:rFonts w:ascii="Arial Narrow" w:eastAsia="Arial Narrow" w:hAnsi="Arial Narrow" w:cs="Arial Narrow"/>
          <w:i/>
          <w:sz w:val="22"/>
          <w:szCs w:val="22"/>
        </w:rPr>
      </w:pPr>
      <w:r>
        <w:rPr>
          <w:rFonts w:ascii="Arial Narrow" w:eastAsia="Arial Narrow" w:hAnsi="Arial Narrow" w:cs="Arial Narrow"/>
          <w:i/>
          <w:sz w:val="22"/>
          <w:szCs w:val="22"/>
        </w:rPr>
        <w:t>“La ley orgánica de presupuesto 819 de 2003 establece en su artículo séptimo lo siguiente:</w:t>
      </w:r>
    </w:p>
    <w:p w:rsidR="00D15A20" w:rsidRDefault="00D15A20">
      <w:pPr>
        <w:ind w:left="720"/>
        <w:rPr>
          <w:rFonts w:ascii="Arial Narrow" w:eastAsia="Arial Narrow" w:hAnsi="Arial Narrow" w:cs="Arial Narrow"/>
          <w:i/>
          <w:sz w:val="22"/>
          <w:szCs w:val="22"/>
        </w:rPr>
      </w:pPr>
    </w:p>
    <w:p w:rsidR="00D15A20" w:rsidRDefault="00BD1E10">
      <w:pPr>
        <w:ind w:left="1440"/>
        <w:jc w:val="both"/>
        <w:rPr>
          <w:rFonts w:ascii="Arial Narrow" w:eastAsia="Arial Narrow" w:hAnsi="Arial Narrow" w:cs="Arial Narrow"/>
          <w:i/>
          <w:sz w:val="22"/>
          <w:szCs w:val="22"/>
        </w:rPr>
      </w:pPr>
      <w:r>
        <w:rPr>
          <w:rFonts w:ascii="Arial Narrow" w:eastAsia="Arial Narrow" w:hAnsi="Arial Narrow" w:cs="Arial Narrow"/>
          <w:b/>
          <w:i/>
          <w:sz w:val="22"/>
          <w:szCs w:val="22"/>
        </w:rPr>
        <w:t>Artículo 7º. Análisis del impacto fiscal de las normas.</w:t>
      </w:r>
      <w:r>
        <w:rPr>
          <w:rFonts w:ascii="Arial Narrow" w:eastAsia="Arial Narrow" w:hAnsi="Arial Narrow" w:cs="Arial Narrow"/>
          <w:i/>
          <w:sz w:val="22"/>
          <w:szCs w:val="22"/>
        </w:rPr>
        <w:t xml:space="preserve"> En todo momento, el impacto fiscal de cualquier proyecto de ley, ordenanza o acuerdo, que ordene gasto o que otorgue beneficios tributarios, deberá hacerse explícito y deberá ser compatible con el Marco Fiscal de Mediano Plazo.</w:t>
      </w:r>
    </w:p>
    <w:p w:rsidR="00D15A20" w:rsidRDefault="00D15A20">
      <w:pPr>
        <w:ind w:left="1440"/>
        <w:jc w:val="both"/>
        <w:rPr>
          <w:rFonts w:ascii="Arial Narrow" w:eastAsia="Arial Narrow" w:hAnsi="Arial Narrow" w:cs="Arial Narrow"/>
          <w:i/>
          <w:sz w:val="22"/>
          <w:szCs w:val="22"/>
        </w:rPr>
      </w:pPr>
    </w:p>
    <w:p w:rsidR="00D15A20" w:rsidRDefault="00BD1E10">
      <w:pPr>
        <w:ind w:left="1440"/>
        <w:jc w:val="both"/>
        <w:rPr>
          <w:rFonts w:ascii="Arial Narrow" w:eastAsia="Arial Narrow" w:hAnsi="Arial Narrow" w:cs="Arial Narrow"/>
          <w:i/>
          <w:sz w:val="22"/>
          <w:szCs w:val="22"/>
        </w:rPr>
      </w:pPr>
      <w:r>
        <w:rPr>
          <w:rFonts w:ascii="Arial Narrow" w:eastAsia="Arial Narrow" w:hAnsi="Arial Narrow" w:cs="Arial Narrow"/>
          <w:i/>
          <w:sz w:val="22"/>
          <w:szCs w:val="22"/>
        </w:rPr>
        <w:t>Para estos propósitos, deberá incluirse expresamente en la exposición de motivos y en las ponencias de trámite respectivas los costos fiscales de la iniciativa y la fuente de ingreso adicional generada para el financiamiento de dicho costo.</w:t>
      </w:r>
    </w:p>
    <w:p w:rsidR="00D15A20" w:rsidRDefault="00D15A20">
      <w:pPr>
        <w:ind w:left="1440"/>
        <w:rPr>
          <w:rFonts w:ascii="Arial Narrow" w:eastAsia="Arial Narrow" w:hAnsi="Arial Narrow" w:cs="Arial Narrow"/>
          <w:i/>
          <w:sz w:val="22"/>
          <w:szCs w:val="22"/>
        </w:rPr>
      </w:pPr>
    </w:p>
    <w:p w:rsidR="00D15A20" w:rsidRDefault="00BD1E10">
      <w:pPr>
        <w:ind w:left="720"/>
        <w:rPr>
          <w:rFonts w:ascii="Arial Narrow" w:eastAsia="Arial Narrow" w:hAnsi="Arial Narrow" w:cs="Arial Narrow"/>
          <w:i/>
          <w:sz w:val="22"/>
          <w:szCs w:val="22"/>
          <w:highlight w:val="yellow"/>
        </w:rPr>
      </w:pPr>
      <w:r>
        <w:rPr>
          <w:rFonts w:ascii="Arial Narrow" w:eastAsia="Arial Narrow" w:hAnsi="Arial Narrow" w:cs="Arial Narrow"/>
          <w:i/>
          <w:sz w:val="22"/>
          <w:szCs w:val="22"/>
        </w:rPr>
        <w:lastRenderedPageBreak/>
        <w:t>Se considera que el presente proyecto de acuerdo no ordena gastos adicionales para el Distrito ni otorga beneficio tributario alguno.”</w:t>
      </w:r>
    </w:p>
    <w:p w:rsidR="00D15A20" w:rsidRDefault="00D15A20">
      <w:pPr>
        <w:shd w:val="clear" w:color="auto" w:fill="FFFFFF"/>
        <w:ind w:left="720"/>
        <w:jc w:val="both"/>
        <w:rPr>
          <w:rFonts w:ascii="Arial Narrow" w:eastAsia="Arial Narrow" w:hAnsi="Arial Narrow" w:cs="Arial Narrow"/>
          <w:i/>
          <w:sz w:val="22"/>
          <w:szCs w:val="22"/>
          <w:highlight w:val="yellow"/>
        </w:rPr>
      </w:pPr>
    </w:p>
    <w:p w:rsidR="00D15A20" w:rsidRDefault="00BD1E10">
      <w:pPr>
        <w:pStyle w:val="Ttulo1"/>
        <w:numPr>
          <w:ilvl w:val="1"/>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CONSIDERACIONES DEL PONENTE</w:t>
      </w:r>
    </w:p>
    <w:p w:rsidR="00D15A20" w:rsidRDefault="00D15A20">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b/>
          <w:sz w:val="22"/>
          <w:szCs w:val="22"/>
        </w:rPr>
      </w:pPr>
    </w:p>
    <w:p w:rsidR="00D15A20" w:rsidRDefault="00BD1E10">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rPr>
      </w:pPr>
      <w:r>
        <w:rPr>
          <w:rFonts w:ascii="Arial Narrow" w:eastAsia="Arial Narrow" w:hAnsi="Arial Narrow" w:cs="Arial Narrow"/>
          <w:sz w:val="22"/>
          <w:szCs w:val="22"/>
        </w:rPr>
        <w:t>A continuación, se expone el análisis del proyecto de Acuerdo No. 471 de 2025, de conformidad con el artículo 7° de la Ley 819 de 2003, establece lo siguiente:</w:t>
      </w:r>
    </w:p>
    <w:p w:rsidR="00D15A20" w:rsidRDefault="00D15A20">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highlight w:val="yellow"/>
        </w:rPr>
      </w:pPr>
    </w:p>
    <w:p w:rsidR="00D15A20" w:rsidRDefault="00BD1E10">
      <w:pPr>
        <w:pBdr>
          <w:top w:val="none" w:sz="0" w:space="0" w:color="000000"/>
          <w:left w:val="none" w:sz="0" w:space="0" w:color="000000"/>
          <w:bottom w:val="none" w:sz="0" w:space="0" w:color="000000"/>
          <w:right w:val="none" w:sz="0" w:space="0" w:color="000000"/>
          <w:between w:val="none" w:sz="0" w:space="0" w:color="000000"/>
        </w:pBdr>
        <w:ind w:left="708"/>
        <w:jc w:val="both"/>
        <w:rPr>
          <w:rFonts w:ascii="Arial Narrow" w:eastAsia="Arial Narrow" w:hAnsi="Arial Narrow" w:cs="Arial Narrow"/>
          <w:i/>
          <w:sz w:val="22"/>
          <w:szCs w:val="22"/>
        </w:rPr>
      </w:pPr>
      <w:r>
        <w:rPr>
          <w:rFonts w:ascii="Arial Narrow" w:eastAsia="Arial Narrow" w:hAnsi="Arial Narrow" w:cs="Arial Narrow"/>
          <w:b/>
          <w:i/>
          <w:sz w:val="22"/>
          <w:szCs w:val="22"/>
        </w:rPr>
        <w:t>“Artículo 7º.</w:t>
      </w:r>
      <w:r>
        <w:rPr>
          <w:rFonts w:ascii="Arial Narrow" w:eastAsia="Arial Narrow" w:hAnsi="Arial Narrow" w:cs="Arial Narrow"/>
          <w:i/>
          <w:sz w:val="22"/>
          <w:szCs w:val="22"/>
        </w:rPr>
        <w:t xml:space="preserve"> Análisis del impacto fiscal de las normas. En todo momento, el impacto fiscal de cualquier proyecto de ley, ordenanza o acuerdo, que ordene gasto o que otorgue beneficios tributarios, deberá hacerse explícito y deberá ser compatible con el Marco Fiscal de Mediano Plazo.</w:t>
      </w:r>
    </w:p>
    <w:p w:rsidR="00D15A20" w:rsidRDefault="00D15A20">
      <w:pPr>
        <w:pBdr>
          <w:top w:val="none" w:sz="0" w:space="0" w:color="000000"/>
          <w:left w:val="none" w:sz="0" w:space="0" w:color="000000"/>
          <w:bottom w:val="none" w:sz="0" w:space="0" w:color="000000"/>
          <w:right w:val="none" w:sz="0" w:space="0" w:color="000000"/>
          <w:between w:val="none" w:sz="0" w:space="0" w:color="000000"/>
        </w:pBdr>
        <w:ind w:left="708"/>
        <w:jc w:val="both"/>
        <w:rPr>
          <w:rFonts w:ascii="Arial Narrow" w:eastAsia="Arial Narrow" w:hAnsi="Arial Narrow" w:cs="Arial Narrow"/>
          <w:i/>
          <w:sz w:val="22"/>
          <w:szCs w:val="22"/>
        </w:rPr>
      </w:pPr>
    </w:p>
    <w:p w:rsidR="00D15A20" w:rsidRDefault="00BD1E10">
      <w:pPr>
        <w:pBdr>
          <w:top w:val="none" w:sz="0" w:space="0" w:color="000000"/>
          <w:left w:val="none" w:sz="0" w:space="0" w:color="000000"/>
          <w:bottom w:val="none" w:sz="0" w:space="0" w:color="000000"/>
          <w:right w:val="none" w:sz="0" w:space="0" w:color="000000"/>
          <w:between w:val="none" w:sz="0" w:space="0" w:color="000000"/>
        </w:pBdr>
        <w:ind w:left="708"/>
        <w:jc w:val="both"/>
        <w:rPr>
          <w:rFonts w:ascii="Arial Narrow" w:eastAsia="Arial Narrow" w:hAnsi="Arial Narrow" w:cs="Arial Narrow"/>
          <w:i/>
          <w:sz w:val="22"/>
          <w:szCs w:val="22"/>
        </w:rPr>
      </w:pPr>
      <w:r>
        <w:rPr>
          <w:rFonts w:ascii="Arial Narrow" w:eastAsia="Arial Narrow" w:hAnsi="Arial Narrow" w:cs="Arial Narrow"/>
          <w:i/>
          <w:sz w:val="22"/>
          <w:szCs w:val="22"/>
        </w:rPr>
        <w:t xml:space="preserve">Para estos propósitos, deberá incluirse expresamente en la exposición de motivos y en las ponencias de trámite respectivas los costos fiscales de la iniciativa y la fuente de ingreso adicional generada para el financiamiento de dicho costo (…)”. </w:t>
      </w:r>
    </w:p>
    <w:p w:rsidR="00D15A20" w:rsidRDefault="00D15A20">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 xml:space="preserve">Por lo anterior, el Proyecto de Acuerdo en estudio, no tiene impacto fiscal. Los gastos que genere la presente iniciativa se entenderán incluidos en los presupuestos y en el Plan Operativo Anual de Inversión de las entidades competentes. </w:t>
      </w:r>
    </w:p>
    <w:p w:rsidR="00D15A20" w:rsidRDefault="00D15A20">
      <w:pPr>
        <w:jc w:val="both"/>
        <w:rPr>
          <w:rFonts w:ascii="Arial Narrow" w:eastAsia="Arial Narrow" w:hAnsi="Arial Narrow" w:cs="Arial Narrow"/>
          <w:sz w:val="22"/>
          <w:szCs w:val="22"/>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Es relevante mencionar, para el caso en concreto, la Sentencia C-911 de 2007 de la Corte Constitucional, en la cual se puntualizó que el impacto fiscal de las normas no puede convertirse en óbice, para que las corporaciones públicas ejerzan su función legislativa y normativa de la siguiente manera:</w:t>
      </w:r>
    </w:p>
    <w:p w:rsidR="00D15A20" w:rsidRDefault="00D15A20">
      <w:pPr>
        <w:jc w:val="both"/>
        <w:rPr>
          <w:rFonts w:ascii="Arial Narrow" w:eastAsia="Arial Narrow" w:hAnsi="Arial Narrow" w:cs="Arial Narrow"/>
          <w:sz w:val="22"/>
          <w:szCs w:val="22"/>
        </w:rPr>
      </w:pPr>
    </w:p>
    <w:p w:rsidR="00D15A20" w:rsidRDefault="00BD1E10">
      <w:pPr>
        <w:ind w:left="720"/>
        <w:jc w:val="both"/>
        <w:rPr>
          <w:rFonts w:ascii="Arial Narrow" w:eastAsia="Arial Narrow" w:hAnsi="Arial Narrow" w:cs="Arial Narrow"/>
          <w:i/>
          <w:sz w:val="22"/>
          <w:szCs w:val="22"/>
        </w:rPr>
      </w:pPr>
      <w:r>
        <w:rPr>
          <w:rFonts w:ascii="Arial Narrow" w:eastAsia="Arial Narrow" w:hAnsi="Arial Narrow" w:cs="Arial Narrow"/>
          <w:i/>
          <w:sz w:val="22"/>
          <w:szCs w:val="22"/>
        </w:rPr>
        <w:t>En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rsidR="00D15A20" w:rsidRDefault="00D15A20">
      <w:pPr>
        <w:ind w:left="720"/>
        <w:jc w:val="both"/>
        <w:rPr>
          <w:rFonts w:ascii="Arial Narrow" w:eastAsia="Arial Narrow" w:hAnsi="Arial Narrow" w:cs="Arial Narrow"/>
          <w:i/>
          <w:sz w:val="22"/>
          <w:szCs w:val="22"/>
        </w:rPr>
      </w:pPr>
    </w:p>
    <w:p w:rsidR="00D15A20" w:rsidRDefault="00BD1E10">
      <w:pPr>
        <w:ind w:left="720"/>
        <w:jc w:val="both"/>
        <w:rPr>
          <w:rFonts w:ascii="Arial Narrow" w:eastAsia="Arial Narrow" w:hAnsi="Arial Narrow" w:cs="Arial Narrow"/>
          <w:i/>
          <w:sz w:val="22"/>
          <w:szCs w:val="22"/>
        </w:rPr>
      </w:pPr>
      <w:r>
        <w:rPr>
          <w:rFonts w:ascii="Arial Narrow" w:eastAsia="Arial Narrow" w:hAnsi="Arial Narrow" w:cs="Arial Narrow"/>
          <w:i/>
          <w:sz w:val="22"/>
          <w:szCs w:val="22"/>
        </w:rPr>
        <w:t>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rsidR="00D15A20" w:rsidRDefault="00D15A20">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highlight w:val="yellow"/>
        </w:rPr>
      </w:pPr>
    </w:p>
    <w:p w:rsidR="00D15A20" w:rsidRDefault="00D15A20">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sz w:val="22"/>
          <w:szCs w:val="22"/>
          <w:highlight w:val="yellow"/>
        </w:rPr>
      </w:pPr>
    </w:p>
    <w:p w:rsidR="00D15A20" w:rsidRDefault="00BD1E10">
      <w:pPr>
        <w:pStyle w:val="Ttulo1"/>
        <w:numPr>
          <w:ilvl w:val="0"/>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PLIEGO MODIFICATORIO</w:t>
      </w:r>
    </w:p>
    <w:p w:rsidR="00D15A20" w:rsidRDefault="00D15A20">
      <w:pPr>
        <w:pBdr>
          <w:top w:val="none" w:sz="0" w:space="0" w:color="000000"/>
          <w:left w:val="none" w:sz="0" w:space="0" w:color="000000"/>
          <w:bottom w:val="none" w:sz="0" w:space="0" w:color="000000"/>
          <w:right w:val="none" w:sz="0" w:space="0" w:color="000000"/>
          <w:between w:val="none" w:sz="0" w:space="0" w:color="000000"/>
        </w:pBdr>
        <w:jc w:val="both"/>
        <w:rPr>
          <w:rFonts w:ascii="Arial Narrow" w:eastAsia="Arial Narrow" w:hAnsi="Arial Narrow" w:cs="Arial Narrow"/>
          <w:b/>
          <w:sz w:val="22"/>
          <w:szCs w:val="22"/>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A continuación, se encuentra el pliego modificatorio propuesto al articulado del Proyecto de Acuerdo:</w:t>
      </w:r>
    </w:p>
    <w:p w:rsidR="00D15A20" w:rsidRDefault="00D15A20">
      <w:pPr>
        <w:jc w:val="both"/>
        <w:rPr>
          <w:rFonts w:ascii="Arial Narrow" w:eastAsia="Arial Narrow" w:hAnsi="Arial Narrow" w:cs="Arial Narrow"/>
          <w:sz w:val="22"/>
          <w:szCs w:val="22"/>
          <w:highlight w:val="yellow"/>
        </w:rPr>
      </w:pPr>
    </w:p>
    <w:tbl>
      <w:tblPr>
        <w:tblStyle w:val="a7"/>
        <w:tblW w:w="8831" w:type="dxa"/>
        <w:jc w:val="cente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539"/>
        <w:gridCol w:w="3544"/>
        <w:gridCol w:w="1748"/>
      </w:tblGrid>
      <w:tr w:rsidR="00D15A20" w:rsidTr="00D15A20">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539" w:type="dxa"/>
          </w:tcPr>
          <w:p w:rsidR="00D15A20" w:rsidRDefault="00BD1E10">
            <w:pPr>
              <w:jc w:val="center"/>
              <w:rPr>
                <w:rFonts w:ascii="Arial Narrow" w:eastAsia="Arial Narrow" w:hAnsi="Arial Narrow" w:cs="Arial Narrow"/>
                <w:sz w:val="20"/>
                <w:szCs w:val="20"/>
              </w:rPr>
            </w:pPr>
            <w:bookmarkStart w:id="3" w:name="_heading=h.da1ysxj32unr" w:colFirst="0" w:colLast="0"/>
            <w:bookmarkEnd w:id="3"/>
            <w:r>
              <w:rPr>
                <w:rFonts w:ascii="Arial Narrow" w:eastAsia="Arial Narrow" w:hAnsi="Arial Narrow" w:cs="Arial Narrow"/>
                <w:sz w:val="20"/>
                <w:szCs w:val="20"/>
              </w:rPr>
              <w:lastRenderedPageBreak/>
              <w:t>Articulado original</w:t>
            </w:r>
          </w:p>
        </w:tc>
        <w:tc>
          <w:tcPr>
            <w:tcW w:w="3544" w:type="dxa"/>
          </w:tcPr>
          <w:p w:rsidR="00D15A20" w:rsidRDefault="00BD1E10">
            <w:pPr>
              <w:jc w:val="center"/>
              <w:cnfStyle w:val="100000000000" w:firstRow="1"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Pliego modificatorio</w:t>
            </w:r>
          </w:p>
        </w:tc>
        <w:tc>
          <w:tcPr>
            <w:tcW w:w="1748" w:type="dxa"/>
          </w:tcPr>
          <w:p w:rsidR="00D15A20" w:rsidRDefault="00BD1E10">
            <w:pPr>
              <w:jc w:val="center"/>
              <w:cnfStyle w:val="100000000000" w:firstRow="1"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Justificación</w:t>
            </w:r>
          </w:p>
        </w:tc>
      </w:tr>
      <w:tr w:rsidR="00D15A20" w:rsidTr="00D15A20">
        <w:trPr>
          <w:jc w:val="center"/>
        </w:trPr>
        <w:tc>
          <w:tcPr>
            <w:cnfStyle w:val="001000000000" w:firstRow="0" w:lastRow="0" w:firstColumn="1" w:lastColumn="0" w:oddVBand="0" w:evenVBand="0" w:oddHBand="0" w:evenHBand="0" w:firstRowFirstColumn="0" w:firstRowLastColumn="0" w:lastRowFirstColumn="0" w:lastRowLastColumn="0"/>
            <w:tcW w:w="3539" w:type="dxa"/>
          </w:tcPr>
          <w:p w:rsidR="00D15A20" w:rsidRDefault="00BD1E10">
            <w:pPr>
              <w:jc w:val="both"/>
              <w:rPr>
                <w:rFonts w:ascii="Arial Narrow" w:eastAsia="Arial Narrow" w:hAnsi="Arial Narrow" w:cs="Arial Narrow"/>
                <w:sz w:val="20"/>
                <w:szCs w:val="20"/>
              </w:rPr>
            </w:pPr>
            <w:r>
              <w:rPr>
                <w:rFonts w:ascii="Arial Narrow" w:eastAsia="Arial Narrow" w:hAnsi="Arial Narrow" w:cs="Arial Narrow"/>
                <w:sz w:val="20"/>
                <w:szCs w:val="20"/>
              </w:rPr>
              <w:t>Artículo 1. Objeto.</w:t>
            </w:r>
            <w:r>
              <w:rPr>
                <w:rFonts w:ascii="Arial Narrow" w:eastAsia="Arial Narrow" w:hAnsi="Arial Narrow" w:cs="Arial Narrow"/>
                <w:b w:val="0"/>
                <w:sz w:val="20"/>
                <w:szCs w:val="20"/>
              </w:rPr>
              <w:t xml:space="preserve"> Establecer un protocolo para gestionar la fatiga y el cansancio en los conductores que operan rutas desde y hacia terminales de transporte terrestre automotor de pasajeros por carretera en Bogotá (sedes Salitre, Satélite Norte y Satélite Sur).</w:t>
            </w:r>
          </w:p>
        </w:tc>
        <w:tc>
          <w:tcPr>
            <w:tcW w:w="3544" w:type="dxa"/>
          </w:tcPr>
          <w:p w:rsidR="00D15A20" w:rsidRDefault="00BD1E1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color w:val="FF0000"/>
                <w:sz w:val="20"/>
                <w:szCs w:val="20"/>
                <w:highlight w:val="yellow"/>
              </w:rPr>
            </w:pPr>
            <w:r>
              <w:rPr>
                <w:rFonts w:ascii="Arial Narrow" w:eastAsia="Arial Narrow" w:hAnsi="Arial Narrow" w:cs="Arial Narrow"/>
                <w:b/>
                <w:sz w:val="20"/>
                <w:szCs w:val="20"/>
              </w:rPr>
              <w:t>Artículo 1. Objeto.</w:t>
            </w:r>
            <w:r>
              <w:rPr>
                <w:rFonts w:ascii="Arial Narrow" w:eastAsia="Arial Narrow" w:hAnsi="Arial Narrow" w:cs="Arial Narrow"/>
                <w:sz w:val="20"/>
                <w:szCs w:val="20"/>
              </w:rPr>
              <w:t xml:space="preserve"> Establecer un protocolo para gestionar la fatiga y el cansancio en los conductores que operan rutas desde y hacia terminales de transporte terrestre automotor de pasajeros por carretera en Bogotá: sedes Salitre, Satélite Norte y Satélite Sur </w:t>
            </w:r>
            <w:r>
              <w:rPr>
                <w:rFonts w:ascii="Arial Narrow" w:eastAsia="Arial Narrow" w:hAnsi="Arial Narrow" w:cs="Arial Narrow"/>
                <w:color w:val="FF0000"/>
                <w:sz w:val="20"/>
                <w:szCs w:val="20"/>
              </w:rPr>
              <w:t xml:space="preserve">y las que se constituyan. </w:t>
            </w:r>
          </w:p>
        </w:tc>
        <w:tc>
          <w:tcPr>
            <w:tcW w:w="1748" w:type="dxa"/>
          </w:tcPr>
          <w:p w:rsidR="00D15A20" w:rsidRDefault="00BD1E1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highlight w:val="yellow"/>
              </w:rPr>
            </w:pPr>
            <w:r>
              <w:rPr>
                <w:rFonts w:ascii="Arial Narrow" w:eastAsia="Arial Narrow" w:hAnsi="Arial Narrow" w:cs="Arial Narrow"/>
                <w:sz w:val="20"/>
                <w:szCs w:val="20"/>
              </w:rPr>
              <w:t>No limitar el alcance del acuerdo dado que es un acuerdo para el distrito.</w:t>
            </w:r>
          </w:p>
        </w:tc>
      </w:tr>
      <w:tr w:rsidR="00D15A20" w:rsidTr="00D15A20">
        <w:trPr>
          <w:jc w:val="center"/>
        </w:trPr>
        <w:tc>
          <w:tcPr>
            <w:cnfStyle w:val="001000000000" w:firstRow="0" w:lastRow="0" w:firstColumn="1" w:lastColumn="0" w:oddVBand="0" w:evenVBand="0" w:oddHBand="0" w:evenHBand="0" w:firstRowFirstColumn="0" w:firstRowLastColumn="0" w:lastRowFirstColumn="0" w:lastRowLastColumn="0"/>
            <w:tcW w:w="3539" w:type="dxa"/>
          </w:tcPr>
          <w:p w:rsidR="00D15A20" w:rsidRDefault="00BD1E10">
            <w:pPr>
              <w:rPr>
                <w:rFonts w:ascii="Arial Narrow" w:eastAsia="Arial Narrow" w:hAnsi="Arial Narrow" w:cs="Arial Narrow"/>
                <w:sz w:val="20"/>
                <w:szCs w:val="20"/>
              </w:rPr>
            </w:pPr>
            <w:r>
              <w:rPr>
                <w:rFonts w:ascii="Arial Narrow" w:eastAsia="Arial Narrow" w:hAnsi="Arial Narrow" w:cs="Arial Narrow"/>
                <w:sz w:val="20"/>
                <w:szCs w:val="20"/>
              </w:rPr>
              <w:t>Artículo 2. Fases del protocolo.</w:t>
            </w:r>
            <w:r>
              <w:rPr>
                <w:rFonts w:ascii="Arial Narrow" w:eastAsia="Arial Narrow" w:hAnsi="Arial Narrow" w:cs="Arial Narrow"/>
                <w:b w:val="0"/>
                <w:sz w:val="20"/>
                <w:szCs w:val="20"/>
              </w:rPr>
              <w:t xml:space="preserve">  El presente protocolo deberá estructurarse en cuatro fases principales:</w:t>
            </w:r>
          </w:p>
          <w:p w:rsidR="00D15A20" w:rsidRDefault="00BD1E10">
            <w:pPr>
              <w:numPr>
                <w:ilvl w:val="0"/>
                <w:numId w:val="5"/>
              </w:numPr>
              <w:jc w:val="both"/>
              <w:rPr>
                <w:rFonts w:ascii="Arial Narrow" w:eastAsia="Arial Narrow" w:hAnsi="Arial Narrow" w:cs="Arial Narrow"/>
                <w:sz w:val="20"/>
                <w:szCs w:val="20"/>
              </w:rPr>
            </w:pPr>
            <w:r>
              <w:rPr>
                <w:rFonts w:ascii="Arial Narrow" w:eastAsia="Arial Narrow" w:hAnsi="Arial Narrow" w:cs="Arial Narrow"/>
                <w:b w:val="0"/>
                <w:sz w:val="20"/>
                <w:szCs w:val="20"/>
              </w:rPr>
              <w:t>Prevención:  Se deben incluir acciones dirigidas a evitar la aparición de la fatiga y cansancio a través de campañas de activas y jornadas informativas sobre el riesgo que representa la fatiga al volante.</w:t>
            </w:r>
          </w:p>
          <w:p w:rsidR="00D15A20" w:rsidRDefault="00BD1E10">
            <w:pPr>
              <w:numPr>
                <w:ilvl w:val="0"/>
                <w:numId w:val="5"/>
              </w:numPr>
              <w:jc w:val="both"/>
              <w:rPr>
                <w:rFonts w:ascii="Arial Narrow" w:eastAsia="Arial Narrow" w:hAnsi="Arial Narrow" w:cs="Arial Narrow"/>
                <w:sz w:val="20"/>
                <w:szCs w:val="20"/>
              </w:rPr>
            </w:pPr>
            <w:r>
              <w:rPr>
                <w:rFonts w:ascii="Arial Narrow" w:eastAsia="Arial Narrow" w:hAnsi="Arial Narrow" w:cs="Arial Narrow"/>
                <w:b w:val="0"/>
                <w:sz w:val="20"/>
                <w:szCs w:val="20"/>
              </w:rPr>
              <w:t>Monitoreo y control: Se deberá integrar un sistema de registro de las horas de conducción acumuladas por cada conductor, así como la implementación de mecanismos automáticos de rotación laboral que impidan jornadas excesivas que pongan en riesgo la integridad del conductor y los pasajeros.</w:t>
            </w:r>
          </w:p>
          <w:p w:rsidR="00D15A20" w:rsidRDefault="00BD1E10">
            <w:pPr>
              <w:numPr>
                <w:ilvl w:val="0"/>
                <w:numId w:val="5"/>
              </w:numPr>
              <w:jc w:val="both"/>
              <w:rPr>
                <w:rFonts w:ascii="Arial Narrow" w:eastAsia="Arial Narrow" w:hAnsi="Arial Narrow" w:cs="Arial Narrow"/>
                <w:sz w:val="20"/>
                <w:szCs w:val="20"/>
              </w:rPr>
            </w:pPr>
            <w:r>
              <w:rPr>
                <w:rFonts w:ascii="Arial Narrow" w:eastAsia="Arial Narrow" w:hAnsi="Arial Narrow" w:cs="Arial Narrow"/>
                <w:b w:val="0"/>
                <w:sz w:val="20"/>
                <w:szCs w:val="20"/>
              </w:rPr>
              <w:t>Intervención inmediata:  Una vez detectado el escenario de fatiga, se dará la activación de protocolo de respuesta cuando se detecte algún grado de fatiga, permitiendo el relevo inmediato del conductor, la disponibilidad de zonas adecuadas de descanso, y la atención médica básica.</w:t>
            </w:r>
          </w:p>
          <w:p w:rsidR="00D15A20" w:rsidRDefault="00BD1E10">
            <w:pPr>
              <w:numPr>
                <w:ilvl w:val="0"/>
                <w:numId w:val="5"/>
              </w:numPr>
              <w:jc w:val="both"/>
              <w:rPr>
                <w:rFonts w:ascii="Arial Narrow" w:eastAsia="Arial Narrow" w:hAnsi="Arial Narrow" w:cs="Arial Narrow"/>
                <w:sz w:val="20"/>
                <w:szCs w:val="20"/>
              </w:rPr>
            </w:pPr>
            <w:r>
              <w:rPr>
                <w:rFonts w:ascii="Arial Narrow" w:eastAsia="Arial Narrow" w:hAnsi="Arial Narrow" w:cs="Arial Narrow"/>
                <w:b w:val="0"/>
                <w:sz w:val="20"/>
                <w:szCs w:val="20"/>
              </w:rPr>
              <w:t>Evaluación y seguimiento:  Se establecerán indicadores de implementación del protocolo, se verificará el uso de las zonas de descanso, y se consolidará la información sobre siniestros asociados a fatiga para ser considerada en los ajustes</w:t>
            </w:r>
          </w:p>
        </w:tc>
        <w:tc>
          <w:tcPr>
            <w:tcW w:w="3544" w:type="dxa"/>
          </w:tcPr>
          <w:p w:rsidR="00D15A20" w:rsidRDefault="00BD1E10">
            <w:pPr>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Artículo 2. Fases del protocolo.  El presente protocolo deberá estructurarse en cuatro fases principales:</w:t>
            </w:r>
          </w:p>
          <w:p w:rsidR="00D15A20" w:rsidRDefault="00BD1E10">
            <w:pPr>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 xml:space="preserve">Prevención:  Se deben incluir acciones dirigidas a evitar la aparición de la fatiga y cansancio a través de campañas </w:t>
            </w:r>
            <w:r>
              <w:rPr>
                <w:rFonts w:ascii="Arial Narrow" w:eastAsia="Arial Narrow" w:hAnsi="Arial Narrow" w:cs="Arial Narrow"/>
                <w:strike/>
                <w:color w:val="FF0000"/>
                <w:sz w:val="20"/>
                <w:szCs w:val="20"/>
              </w:rPr>
              <w:t>de</w:t>
            </w:r>
            <w:r>
              <w:rPr>
                <w:rFonts w:ascii="Arial Narrow" w:eastAsia="Arial Narrow" w:hAnsi="Arial Narrow" w:cs="Arial Narrow"/>
                <w:sz w:val="20"/>
                <w:szCs w:val="20"/>
              </w:rPr>
              <w:t xml:space="preserve"> activas y jornadas informativas sobre el riesgo que representa la fatiga al volante.</w:t>
            </w:r>
          </w:p>
          <w:p w:rsidR="00D15A20" w:rsidRDefault="00BD1E10">
            <w:pPr>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Monitoreo y control: Se deberá integrar un sistema de registro de las horas de conducción acumuladas por cada conductor, así como la implementación de mecanismos automáticos de rotación laboral que impidan jornadas excesivas que pongan en riesgo la integridad del conductor y los pasajeros.</w:t>
            </w:r>
          </w:p>
          <w:p w:rsidR="00D15A20" w:rsidRDefault="00BD1E10">
            <w:pPr>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 xml:space="preserve">Intervención inmediata:  Una vez detectado el escenario de fatiga, se dará la activación de protocolo de respuesta </w:t>
            </w:r>
            <w:r>
              <w:rPr>
                <w:rFonts w:ascii="Arial Narrow" w:eastAsia="Arial Narrow" w:hAnsi="Arial Narrow" w:cs="Arial Narrow"/>
                <w:strike/>
                <w:color w:val="FF0000"/>
                <w:sz w:val="20"/>
                <w:szCs w:val="20"/>
              </w:rPr>
              <w:t>cuando se detecte algún grado de fatiga</w:t>
            </w:r>
            <w:r>
              <w:rPr>
                <w:rFonts w:ascii="Arial Narrow" w:eastAsia="Arial Narrow" w:hAnsi="Arial Narrow" w:cs="Arial Narrow"/>
                <w:sz w:val="20"/>
                <w:szCs w:val="20"/>
              </w:rPr>
              <w:t>, permitiendo el relevo inmediato del conductor, la disponibilidad de zonas adecuadas de descanso, y la atención médica básica.</w:t>
            </w:r>
          </w:p>
          <w:p w:rsidR="00D15A20" w:rsidRDefault="00BD1E10">
            <w:pPr>
              <w:numPr>
                <w:ilvl w:val="0"/>
                <w:numId w:val="9"/>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Evaluación y seguimiento:  Se establecerán indicadores de implementación del protocolo, se verificará el uso de las zonas de descanso, y se consolidará la información sobre siniestros asociados a fatiga para ser considerada en los ajustes</w:t>
            </w:r>
          </w:p>
        </w:tc>
        <w:tc>
          <w:tcPr>
            <w:tcW w:w="1748" w:type="dxa"/>
          </w:tcPr>
          <w:p w:rsidR="00D15A20" w:rsidRDefault="00BD1E1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highlight w:val="yellow"/>
              </w:rPr>
            </w:pPr>
            <w:r>
              <w:rPr>
                <w:rFonts w:ascii="Arial Narrow" w:eastAsia="Arial Narrow" w:hAnsi="Arial Narrow" w:cs="Arial Narrow"/>
                <w:sz w:val="20"/>
                <w:szCs w:val="20"/>
              </w:rPr>
              <w:t>Ajustes de forma para mejorar la redacción</w:t>
            </w:r>
          </w:p>
        </w:tc>
      </w:tr>
      <w:tr w:rsidR="00D15A20" w:rsidTr="00D15A20">
        <w:trPr>
          <w:jc w:val="center"/>
        </w:trPr>
        <w:tc>
          <w:tcPr>
            <w:cnfStyle w:val="001000000000" w:firstRow="0" w:lastRow="0" w:firstColumn="1" w:lastColumn="0" w:oddVBand="0" w:evenVBand="0" w:oddHBand="0" w:evenHBand="0" w:firstRowFirstColumn="0" w:firstRowLastColumn="0" w:lastRowFirstColumn="0" w:lastRowLastColumn="0"/>
            <w:tcW w:w="3539" w:type="dxa"/>
          </w:tcPr>
          <w:p w:rsidR="00D15A20" w:rsidRDefault="00BD1E10">
            <w:pPr>
              <w:jc w:val="both"/>
              <w:rPr>
                <w:rFonts w:ascii="Arial Narrow" w:eastAsia="Arial Narrow" w:hAnsi="Arial Narrow" w:cs="Arial Narrow"/>
                <w:sz w:val="20"/>
                <w:szCs w:val="20"/>
              </w:rPr>
            </w:pPr>
            <w:r>
              <w:rPr>
                <w:rFonts w:ascii="Arial Narrow" w:eastAsia="Arial Narrow" w:hAnsi="Arial Narrow" w:cs="Arial Narrow"/>
                <w:sz w:val="20"/>
                <w:szCs w:val="20"/>
              </w:rPr>
              <w:t>Artículo 3. Contenido mínimo del protocolo</w:t>
            </w:r>
            <w:r>
              <w:rPr>
                <w:rFonts w:ascii="Arial Narrow" w:eastAsia="Arial Narrow" w:hAnsi="Arial Narrow" w:cs="Arial Narrow"/>
                <w:b w:val="0"/>
                <w:sz w:val="20"/>
                <w:szCs w:val="20"/>
              </w:rPr>
              <w:t xml:space="preserve">. El protocolo para gestionar la </w:t>
            </w:r>
            <w:r>
              <w:rPr>
                <w:rFonts w:ascii="Arial Narrow" w:eastAsia="Arial Narrow" w:hAnsi="Arial Narrow" w:cs="Arial Narrow"/>
                <w:b w:val="0"/>
                <w:sz w:val="20"/>
                <w:szCs w:val="20"/>
              </w:rPr>
              <w:lastRenderedPageBreak/>
              <w:t>fatiga y el cansancio en los conductores que operan en desde y hacia terminales de transporte terrestre automotor de pasajeros por carretera en Bogotá (sedes Salitre, Satélite Norte y Satélite Sur), deberá contener, como mínimo, los siguientes componentes:</w:t>
            </w:r>
          </w:p>
          <w:p w:rsidR="00D15A20" w:rsidRDefault="00BD1E10">
            <w:pPr>
              <w:numPr>
                <w:ilvl w:val="0"/>
                <w:numId w:val="6"/>
              </w:numPr>
              <w:jc w:val="both"/>
              <w:rPr>
                <w:rFonts w:ascii="Arial Narrow" w:eastAsia="Arial Narrow" w:hAnsi="Arial Narrow" w:cs="Arial Narrow"/>
                <w:sz w:val="20"/>
                <w:szCs w:val="20"/>
              </w:rPr>
            </w:pPr>
            <w:r>
              <w:rPr>
                <w:rFonts w:ascii="Arial Narrow" w:eastAsia="Arial Narrow" w:hAnsi="Arial Narrow" w:cs="Arial Narrow"/>
                <w:b w:val="0"/>
                <w:sz w:val="20"/>
                <w:szCs w:val="20"/>
              </w:rPr>
              <w:t>Espacios de descanso: la Terminal de Transporte S.A deberá contar con zonas equipadas adecuadamente para que los conductores puedan descansar y recuperarse antes y después de los trayectos de las rutas que operen con origen o destino Bogotá D.C.</w:t>
            </w:r>
          </w:p>
          <w:p w:rsidR="00D15A20" w:rsidRDefault="00BD1E10">
            <w:pPr>
              <w:numPr>
                <w:ilvl w:val="0"/>
                <w:numId w:val="6"/>
              </w:numPr>
              <w:jc w:val="both"/>
              <w:rPr>
                <w:rFonts w:ascii="Arial Narrow" w:eastAsia="Arial Narrow" w:hAnsi="Arial Narrow" w:cs="Arial Narrow"/>
                <w:sz w:val="20"/>
                <w:szCs w:val="20"/>
              </w:rPr>
            </w:pPr>
            <w:r>
              <w:rPr>
                <w:rFonts w:ascii="Arial Narrow" w:eastAsia="Arial Narrow" w:hAnsi="Arial Narrow" w:cs="Arial Narrow"/>
                <w:b w:val="0"/>
                <w:sz w:val="20"/>
                <w:szCs w:val="20"/>
              </w:rPr>
              <w:t>Mecanismo de control para la rotación del personal: Las empresas de transporte terrestre automotor de pasajeros por carretera que tengan autorizadas o registradas rutas con origen o destino Bogotá D.C., deberán implementar mecanismos estandarizados para evitar excesos en las horas continuas de conducción, la repetición injustificada de turnos, y los intervalos inadecuados e insuficientes entre trayectos por parte de los conductores.</w:t>
            </w:r>
          </w:p>
          <w:p w:rsidR="00D15A20" w:rsidRDefault="00BD1E10">
            <w:pPr>
              <w:ind w:left="720"/>
              <w:jc w:val="both"/>
              <w:rPr>
                <w:rFonts w:ascii="Arial Narrow" w:eastAsia="Arial Narrow" w:hAnsi="Arial Narrow" w:cs="Arial Narrow"/>
                <w:sz w:val="20"/>
                <w:szCs w:val="20"/>
              </w:rPr>
            </w:pPr>
            <w:r>
              <w:rPr>
                <w:rFonts w:ascii="Arial Narrow" w:eastAsia="Arial Narrow" w:hAnsi="Arial Narrow" w:cs="Arial Narrow"/>
                <w:b w:val="0"/>
                <w:sz w:val="20"/>
                <w:szCs w:val="20"/>
              </w:rPr>
              <w:t xml:space="preserve">Dentro de este componente, y de conformidad con los lineamientos del Ministerio de Transporte, de la Agencia Nacional de Seguridad Vial y demás autoridades competentes, la Terminal de Transporte S.A definirá los estándares mínimos de control para la rotación de personal (máximo de horas permitidas de conducción continua, intervalos adecuados de descanso entre trayectos, pausas activas, entre otros) y los comunicará oportunamente a las empresas de transporte terrestre automotor de pasajeros por carretera que tengan </w:t>
            </w:r>
            <w:r>
              <w:rPr>
                <w:rFonts w:ascii="Arial Narrow" w:eastAsia="Arial Narrow" w:hAnsi="Arial Narrow" w:cs="Arial Narrow"/>
                <w:b w:val="0"/>
                <w:sz w:val="20"/>
                <w:szCs w:val="20"/>
              </w:rPr>
              <w:lastRenderedPageBreak/>
              <w:t>autorizadas o registradas rutas con origen o destino Bogotá D.C.</w:t>
            </w:r>
          </w:p>
          <w:p w:rsidR="00D15A20" w:rsidRDefault="00BD1E10">
            <w:pPr>
              <w:ind w:left="720"/>
              <w:jc w:val="both"/>
              <w:rPr>
                <w:rFonts w:ascii="Arial Narrow" w:eastAsia="Arial Narrow" w:hAnsi="Arial Narrow" w:cs="Arial Narrow"/>
                <w:sz w:val="20"/>
                <w:szCs w:val="20"/>
              </w:rPr>
            </w:pPr>
            <w:r>
              <w:rPr>
                <w:rFonts w:ascii="Arial Narrow" w:eastAsia="Arial Narrow" w:hAnsi="Arial Narrow" w:cs="Arial Narrow"/>
                <w:b w:val="0"/>
                <w:sz w:val="20"/>
                <w:szCs w:val="20"/>
              </w:rPr>
              <w:t>La Terminal de Transporte S.A establecerá los mecanismos de seguimiento y verificación del cumplimiento de los criterios de control para la rotación del personal a los que hace referencia el presente numeral.</w:t>
            </w:r>
          </w:p>
          <w:p w:rsidR="00D15A20" w:rsidRDefault="00BD1E10">
            <w:pPr>
              <w:numPr>
                <w:ilvl w:val="0"/>
                <w:numId w:val="7"/>
              </w:numPr>
              <w:jc w:val="both"/>
              <w:rPr>
                <w:rFonts w:ascii="Arial Narrow" w:eastAsia="Arial Narrow" w:hAnsi="Arial Narrow" w:cs="Arial Narrow"/>
                <w:sz w:val="20"/>
                <w:szCs w:val="20"/>
              </w:rPr>
            </w:pPr>
            <w:r>
              <w:rPr>
                <w:rFonts w:ascii="Arial Narrow" w:eastAsia="Arial Narrow" w:hAnsi="Arial Narrow" w:cs="Arial Narrow"/>
                <w:b w:val="0"/>
                <w:sz w:val="20"/>
                <w:szCs w:val="20"/>
              </w:rPr>
              <w:t>Identificación de los conductores que operan rutas desde y hacia terminales de transporte terrestre automotor de pasajeros por carretera en Bogotá: la Terminal de Transporte S.A definirá los mecanismos necesarios para digitalizar y garantizar el acceso a la información por parte de los usuarios sobre la identificación de cada conductor que opera rutas desde y hacia terminales de transporte terrestre automotor de pasajeros por carretera en Bogotá. La información de cada conductor contemplará, como mínimo: i) nombre completo; ii) empresa a la que se encuentra vinculado; iii) ruta o rutas que opera en tiempo real; iv) restricciones o limitaciones para conducir; v) estado de salud; vi) controles de fatiga realizados en su última jornada; y vii) horas acumuladas continuas de conducción.</w:t>
            </w:r>
          </w:p>
          <w:p w:rsidR="00D15A20" w:rsidRDefault="00BD1E10">
            <w:pPr>
              <w:numPr>
                <w:ilvl w:val="0"/>
                <w:numId w:val="7"/>
              </w:numPr>
              <w:jc w:val="both"/>
              <w:rPr>
                <w:rFonts w:ascii="Arial Narrow" w:eastAsia="Arial Narrow" w:hAnsi="Arial Narrow" w:cs="Arial Narrow"/>
                <w:sz w:val="20"/>
                <w:szCs w:val="20"/>
              </w:rPr>
            </w:pPr>
            <w:r>
              <w:rPr>
                <w:rFonts w:ascii="Arial Narrow" w:eastAsia="Arial Narrow" w:hAnsi="Arial Narrow" w:cs="Arial Narrow"/>
                <w:b w:val="0"/>
                <w:sz w:val="20"/>
                <w:szCs w:val="20"/>
              </w:rPr>
              <w:t xml:space="preserve">Información del estado del vehículo: la Terminal de Transporte S.A definirá los mecanismos necesarios para digitalizar y garantizar el acceso a la información por parte de los usuarios sobre la información del vehículo que opera cada ruta desde y hacia terminales de transporte terrestre automotor de pasajeros por carretera en Bogotá en tiempo real (placa, ruta, hora de salida, empresa operadora, modelo, </w:t>
            </w:r>
            <w:r>
              <w:rPr>
                <w:rFonts w:ascii="Arial Narrow" w:eastAsia="Arial Narrow" w:hAnsi="Arial Narrow" w:cs="Arial Narrow"/>
                <w:b w:val="0"/>
                <w:sz w:val="20"/>
                <w:szCs w:val="20"/>
              </w:rPr>
              <w:lastRenderedPageBreak/>
              <w:t>verificación de revisión técnico mecánica, horas continuas de operación, entre otros).</w:t>
            </w:r>
          </w:p>
          <w:p w:rsidR="00D15A20" w:rsidRDefault="00BD1E10">
            <w:pPr>
              <w:numPr>
                <w:ilvl w:val="0"/>
                <w:numId w:val="7"/>
              </w:numPr>
              <w:jc w:val="both"/>
              <w:rPr>
                <w:rFonts w:ascii="Arial Narrow" w:eastAsia="Arial Narrow" w:hAnsi="Arial Narrow" w:cs="Arial Narrow"/>
                <w:sz w:val="20"/>
                <w:szCs w:val="20"/>
              </w:rPr>
            </w:pPr>
            <w:r>
              <w:rPr>
                <w:rFonts w:ascii="Arial Narrow" w:eastAsia="Arial Narrow" w:hAnsi="Arial Narrow" w:cs="Arial Narrow"/>
                <w:b w:val="0"/>
                <w:sz w:val="20"/>
                <w:szCs w:val="20"/>
              </w:rPr>
              <w:t>Modernización de los mecanismos para la detección de fatiga y el cansancio: la Terminal de Transporte S.A y las empresas de transporte terrestre automotor de pasajeros por carretera que tengan autorizadas o registradas rutas con origen o destino Bogotá D.C, aunarán esfuerzos para incorporar la última tecnología disponible para detectar signos de fatiga y cansancio en los conductores (sensores de parpadeo, inteligencia artificial aplicada a cámaras, entre otros.).</w:t>
            </w:r>
          </w:p>
          <w:p w:rsidR="00D15A20" w:rsidRDefault="00BD1E10">
            <w:pPr>
              <w:numPr>
                <w:ilvl w:val="0"/>
                <w:numId w:val="7"/>
              </w:numPr>
              <w:jc w:val="both"/>
              <w:rPr>
                <w:rFonts w:ascii="Arial Narrow" w:eastAsia="Arial Narrow" w:hAnsi="Arial Narrow" w:cs="Arial Narrow"/>
                <w:sz w:val="20"/>
                <w:szCs w:val="20"/>
              </w:rPr>
            </w:pPr>
            <w:r>
              <w:rPr>
                <w:rFonts w:ascii="Arial Narrow" w:eastAsia="Arial Narrow" w:hAnsi="Arial Narrow" w:cs="Arial Narrow"/>
                <w:b w:val="0"/>
                <w:sz w:val="20"/>
                <w:szCs w:val="20"/>
              </w:rPr>
              <w:t>Identificación de patrones de fatiga: la Terminal de Transporte S.A deberá establecer criterios clínicos y conductuales que permitan la detección temprana y la identificación de patrones de fatiga en los conductores que opera rutas desde y hacia terminales de transporte terrestre automotor de pasajeros por carretera en Bogotá, así como protocolos para actuar en caso de materializarse los riesgos de fatiga.</w:t>
            </w:r>
          </w:p>
          <w:p w:rsidR="00D15A20" w:rsidRDefault="00D15A20">
            <w:pPr>
              <w:jc w:val="both"/>
              <w:rPr>
                <w:rFonts w:ascii="Arial Narrow" w:eastAsia="Arial Narrow" w:hAnsi="Arial Narrow" w:cs="Arial Narrow"/>
                <w:sz w:val="20"/>
                <w:szCs w:val="20"/>
                <w:highlight w:val="yellow"/>
              </w:rPr>
            </w:pPr>
          </w:p>
        </w:tc>
        <w:tc>
          <w:tcPr>
            <w:tcW w:w="3544" w:type="dxa"/>
          </w:tcPr>
          <w:p w:rsidR="00D15A20" w:rsidRDefault="00BD1E1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b/>
                <w:sz w:val="20"/>
                <w:szCs w:val="20"/>
              </w:rPr>
              <w:lastRenderedPageBreak/>
              <w:t>Artículo 3. Contenido mínimo del protocolo</w:t>
            </w:r>
            <w:r>
              <w:rPr>
                <w:rFonts w:ascii="Arial Narrow" w:eastAsia="Arial Narrow" w:hAnsi="Arial Narrow" w:cs="Arial Narrow"/>
                <w:sz w:val="20"/>
                <w:szCs w:val="20"/>
              </w:rPr>
              <w:t xml:space="preserve">. El protocolo para gestionar la </w:t>
            </w:r>
            <w:r>
              <w:rPr>
                <w:rFonts w:ascii="Arial Narrow" w:eastAsia="Arial Narrow" w:hAnsi="Arial Narrow" w:cs="Arial Narrow"/>
                <w:sz w:val="20"/>
                <w:szCs w:val="20"/>
              </w:rPr>
              <w:lastRenderedPageBreak/>
              <w:t xml:space="preserve">fatiga y el cansancio en los conductores que operan en desde y hacia terminales de transporte terrestre automotor de pasajeros por carretera en  Bogotá: sedes Salitre, Satélite Norte y Satélite Sur </w:t>
            </w:r>
            <w:r>
              <w:rPr>
                <w:rFonts w:ascii="Arial Narrow" w:eastAsia="Arial Narrow" w:hAnsi="Arial Narrow" w:cs="Arial Narrow"/>
                <w:color w:val="FF0000"/>
                <w:sz w:val="20"/>
                <w:szCs w:val="20"/>
              </w:rPr>
              <w:t xml:space="preserve">y las que se constituyan, </w:t>
            </w:r>
            <w:r>
              <w:rPr>
                <w:rFonts w:ascii="Arial Narrow" w:eastAsia="Arial Narrow" w:hAnsi="Arial Narrow" w:cs="Arial Narrow"/>
                <w:sz w:val="20"/>
                <w:szCs w:val="20"/>
              </w:rPr>
              <w:t>deberá contener, como mínimo, los siguientes componentes:</w:t>
            </w:r>
          </w:p>
          <w:p w:rsidR="00D15A20" w:rsidRDefault="00BD1E10">
            <w:pPr>
              <w:numPr>
                <w:ilvl w:val="0"/>
                <w:numId w:val="10"/>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Espacios de descanso: la Terminal de Transporte S.A deberá contar con zonas equipadas adecuadamente para que los conductores puedan descansar y recuperarse antes y después de los trayectos de las rutas que operen con origen o destino Bogotá D.C.</w:t>
            </w:r>
          </w:p>
          <w:p w:rsidR="00D15A20" w:rsidRDefault="00BD1E10">
            <w:pPr>
              <w:numPr>
                <w:ilvl w:val="0"/>
                <w:numId w:val="10"/>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 xml:space="preserve">Mecanismo de control para la rotación del personal: Las empresas de transporte terrestre automotor de pasajeros por carretera que tengan autorizadas o registradas rutas con origen o destino Bogotá D.C., deberán implementar mecanismos estandarizados para evitar excesos en las horas continuas de conducción, la repetición injustificada de turnos, y los intervalos inadecuados e insuficientes entre trayectos por parte de los conductores. </w:t>
            </w:r>
          </w:p>
          <w:p w:rsidR="00D15A20" w:rsidRDefault="00BD1E10">
            <w:pPr>
              <w:ind w:left="720"/>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 xml:space="preserve">Dentro de este componente, y de conformidad con los lineamientos del Ministerio de Transporte, de la Agencia Nacional de Seguridad Vial y demás autoridades competentes, la Terminal de Transporte S.A definirá los estándares mínimos de control para la rotación de personal (máximo de horas permitidas de conducción continua, intervalos adecuados de descanso entre trayectos, pausas activas, entre otros) y los comunicará oportunamente a las empresas de transporte terrestre automotor de pasajeros por carretera que tengan </w:t>
            </w:r>
            <w:r>
              <w:rPr>
                <w:rFonts w:ascii="Arial Narrow" w:eastAsia="Arial Narrow" w:hAnsi="Arial Narrow" w:cs="Arial Narrow"/>
                <w:sz w:val="20"/>
                <w:szCs w:val="20"/>
              </w:rPr>
              <w:lastRenderedPageBreak/>
              <w:t>autorizadas o registradas rutas con origen o destino Bogotá D.C.</w:t>
            </w:r>
          </w:p>
          <w:p w:rsidR="00D15A20" w:rsidRDefault="00BD1E10">
            <w:pPr>
              <w:ind w:left="720"/>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La Terminal de Transporte S.A establecerá los mecanismos de seguimiento y verificación del cumplimiento de los criterios de control para la rotación del personal a los que hace referencia el presente numeral.</w:t>
            </w:r>
          </w:p>
          <w:p w:rsidR="00D15A20" w:rsidRDefault="00BD1E10">
            <w:pPr>
              <w:numPr>
                <w:ilvl w:val="0"/>
                <w:numId w:val="11"/>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Identificación de los conductores que operan rutas desde y hacia terminales de transporte terrestre automotor de pasajeros por carretera en Bogotá: la Terminal de Transporte S.A definirá los mecanismos necesarios para digitalizar y garantizar el acceso a la información por parte de los usuarios sobre la identificación de cada conductor que opera rutas desde y hacia terminales de transporte terrestre automotor de pasajeros por carretera en Bogotá. La información de cada conductor contemplará, como mínimo: i) nombre completo; ii) empresa a la que se encuentra vinculado; iii) ruta o rutas que opera en tiempo real; iv) restricciones o limitaciones para conducir; v) estado de salud; vi) controles de fatiga realizados en su última jornada; y vii) horas acumuladas continuas de conducción.</w:t>
            </w:r>
          </w:p>
          <w:p w:rsidR="00D15A20" w:rsidRDefault="00BD1E10">
            <w:pPr>
              <w:numPr>
                <w:ilvl w:val="0"/>
                <w:numId w:val="11"/>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 xml:space="preserve">Información del estado del vehículo: la Terminal de Transporte S.A definirá los mecanismos necesarios para digitalizar y garantizar el acceso a la información por parte de los usuarios sobre la información del vehículo que opera cada ruta desde y hacia terminales de transporte terrestre automotor de pasajeros por carretera en Bogotá en tiempo real (placa, ruta, hora de salida, empresa operadora, modelo, </w:t>
            </w:r>
            <w:r>
              <w:rPr>
                <w:rFonts w:ascii="Arial Narrow" w:eastAsia="Arial Narrow" w:hAnsi="Arial Narrow" w:cs="Arial Narrow"/>
                <w:sz w:val="20"/>
                <w:szCs w:val="20"/>
              </w:rPr>
              <w:lastRenderedPageBreak/>
              <w:t>verificación de revisión técnico mecánica, horas continuas de operación, entre otros).</w:t>
            </w:r>
          </w:p>
          <w:p w:rsidR="00D15A20" w:rsidRDefault="00BD1E10">
            <w:pPr>
              <w:numPr>
                <w:ilvl w:val="0"/>
                <w:numId w:val="11"/>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 xml:space="preserve">Modernización de los mecanismos para la detección de fatiga y el cansancio: la Terminal de Transporte S.A y las empresas de transporte terrestre automotor de pasajeros por carretera que tengan autorizadas o registradas rutas con origen o destino Bogotá D.C, aunarán esfuerzos para incorporar </w:t>
            </w:r>
            <w:r>
              <w:rPr>
                <w:rFonts w:ascii="Arial Narrow" w:eastAsia="Arial Narrow" w:hAnsi="Arial Narrow" w:cs="Arial Narrow"/>
                <w:color w:val="FF0000"/>
                <w:sz w:val="20"/>
                <w:szCs w:val="20"/>
              </w:rPr>
              <w:t>herramientas tecnológicas aptas y actualizadas</w:t>
            </w:r>
            <w:r>
              <w:rPr>
                <w:rFonts w:ascii="Arial Narrow" w:eastAsia="Arial Narrow" w:hAnsi="Arial Narrow" w:cs="Arial Narrow"/>
                <w:sz w:val="20"/>
                <w:szCs w:val="20"/>
              </w:rPr>
              <w:t xml:space="preserve"> </w:t>
            </w:r>
            <w:r>
              <w:rPr>
                <w:rFonts w:ascii="Arial Narrow" w:eastAsia="Arial Narrow" w:hAnsi="Arial Narrow" w:cs="Arial Narrow"/>
                <w:strike/>
                <w:color w:val="FF0000"/>
                <w:sz w:val="20"/>
                <w:szCs w:val="20"/>
              </w:rPr>
              <w:t>la última tecnología disponible</w:t>
            </w:r>
            <w:r>
              <w:rPr>
                <w:rFonts w:ascii="Arial Narrow" w:eastAsia="Arial Narrow" w:hAnsi="Arial Narrow" w:cs="Arial Narrow"/>
                <w:sz w:val="20"/>
                <w:szCs w:val="20"/>
              </w:rPr>
              <w:t xml:space="preserve"> para detectar signos de fatiga y cansancio en los conductores (sensores de parpadeo, inteligencia artificial aplicada a cámaras, entre otros.).</w:t>
            </w:r>
          </w:p>
          <w:p w:rsidR="00D15A20" w:rsidRDefault="00BD1E10">
            <w:pPr>
              <w:numPr>
                <w:ilvl w:val="0"/>
                <w:numId w:val="11"/>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Identificación de patrones de fatiga: la Terminal de Transporte S.A deberá establecer criterios clínicos y conductuales que permitan la detección temprana y la identificación de patrones de fatiga en los conductores que opera rutas desde y hacia terminales de transporte terrestre automotor de pasajeros por carretera en Bogotá, así como protocolos para actuar en caso de materializarse los riesgos de fatiga.</w:t>
            </w:r>
          </w:p>
          <w:p w:rsidR="00D15A20" w:rsidRDefault="00BD1E10">
            <w:pPr>
              <w:numPr>
                <w:ilvl w:val="0"/>
                <w:numId w:val="11"/>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color w:val="FF0000"/>
                <w:sz w:val="20"/>
                <w:szCs w:val="20"/>
              </w:rPr>
            </w:pPr>
            <w:r>
              <w:rPr>
                <w:rFonts w:ascii="Arial Narrow" w:eastAsia="Arial Narrow" w:hAnsi="Arial Narrow" w:cs="Arial Narrow"/>
                <w:color w:val="FF0000"/>
                <w:sz w:val="20"/>
                <w:szCs w:val="20"/>
              </w:rPr>
              <w:t>Interoperabilidad de información: la información derivada del presente protocolo será interoperable entre las empresas transportadoras, las Terminales de Transporte y la Secretaría Distrital de Movilidad. Esta información deberá permitir el seguimiento, alertar posibles excesos de jornada y facilitar la verificación de cumplimiento del protocolo.</w:t>
            </w:r>
          </w:p>
          <w:p w:rsidR="00D15A20" w:rsidRDefault="00BD1E10">
            <w:pPr>
              <w:numPr>
                <w:ilvl w:val="0"/>
                <w:numId w:val="11"/>
              </w:num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color w:val="FF0000"/>
                <w:sz w:val="20"/>
                <w:szCs w:val="20"/>
              </w:rPr>
            </w:pPr>
            <w:r>
              <w:rPr>
                <w:rFonts w:ascii="Arial Narrow" w:eastAsia="Arial Narrow" w:hAnsi="Arial Narrow" w:cs="Arial Narrow"/>
                <w:color w:val="FF0000"/>
                <w:sz w:val="20"/>
                <w:szCs w:val="20"/>
              </w:rPr>
              <w:t xml:space="preserve">Plan de gestión del riesgo: se deberá diseñar, implementar y actualizar periódicamente el plan de </w:t>
            </w:r>
            <w:r>
              <w:rPr>
                <w:rFonts w:ascii="Arial Narrow" w:eastAsia="Arial Narrow" w:hAnsi="Arial Narrow" w:cs="Arial Narrow"/>
                <w:color w:val="FF0000"/>
                <w:sz w:val="20"/>
                <w:szCs w:val="20"/>
              </w:rPr>
              <w:lastRenderedPageBreak/>
              <w:t>gestión del riesgo por fatiga y cansancio. Este plan deberá incluir mecanismos de identificación, evaluación, mitigación y seguimiento de factores que incrementan el riesgo de fatiga y cansancio en los conductores.</w:t>
            </w:r>
          </w:p>
          <w:p w:rsidR="00D15A20" w:rsidRDefault="00D15A2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color w:val="FF0000"/>
                <w:sz w:val="20"/>
                <w:szCs w:val="20"/>
              </w:rPr>
            </w:pPr>
          </w:p>
          <w:p w:rsidR="00D15A20" w:rsidRDefault="00D15A2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color w:val="FF0000"/>
                <w:sz w:val="20"/>
                <w:szCs w:val="20"/>
              </w:rPr>
            </w:pPr>
          </w:p>
        </w:tc>
        <w:tc>
          <w:tcPr>
            <w:tcW w:w="1748" w:type="dxa"/>
          </w:tcPr>
          <w:p w:rsidR="00D15A20" w:rsidRDefault="00BD1E1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lastRenderedPageBreak/>
              <w:t xml:space="preserve">No limitar el alcance del acuerdo dado </w:t>
            </w:r>
            <w:r>
              <w:rPr>
                <w:rFonts w:ascii="Arial Narrow" w:eastAsia="Arial Narrow" w:hAnsi="Arial Narrow" w:cs="Arial Narrow"/>
                <w:sz w:val="20"/>
                <w:szCs w:val="20"/>
              </w:rPr>
              <w:lastRenderedPageBreak/>
              <w:t>que es un acuerdo para el distrito.</w:t>
            </w:r>
          </w:p>
          <w:p w:rsidR="00D15A20" w:rsidRDefault="00D15A2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highlight w:val="yellow"/>
              </w:rPr>
            </w:pPr>
          </w:p>
          <w:p w:rsidR="00D15A20" w:rsidRDefault="00BD1E1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highlight w:val="yellow"/>
              </w:rPr>
            </w:pPr>
            <w:r>
              <w:rPr>
                <w:rFonts w:ascii="Arial Narrow" w:eastAsia="Arial Narrow" w:hAnsi="Arial Narrow" w:cs="Arial Narrow"/>
                <w:sz w:val="20"/>
                <w:szCs w:val="20"/>
              </w:rPr>
              <w:t xml:space="preserve">Es necesario garantizar la interoperabilidad de la información y la gestión de riesgos. </w:t>
            </w:r>
          </w:p>
        </w:tc>
      </w:tr>
      <w:tr w:rsidR="00D15A20" w:rsidTr="00D15A20">
        <w:trPr>
          <w:jc w:val="center"/>
        </w:trPr>
        <w:tc>
          <w:tcPr>
            <w:cnfStyle w:val="001000000000" w:firstRow="0" w:lastRow="0" w:firstColumn="1" w:lastColumn="0" w:oddVBand="0" w:evenVBand="0" w:oddHBand="0" w:evenHBand="0" w:firstRowFirstColumn="0" w:firstRowLastColumn="0" w:lastRowFirstColumn="0" w:lastRowLastColumn="0"/>
            <w:tcW w:w="3539" w:type="dxa"/>
          </w:tcPr>
          <w:p w:rsidR="00D15A20" w:rsidRDefault="00BD1E10">
            <w:pPr>
              <w:jc w:val="both"/>
              <w:rPr>
                <w:rFonts w:ascii="Arial Narrow" w:eastAsia="Arial Narrow" w:hAnsi="Arial Narrow" w:cs="Arial Narrow"/>
                <w:sz w:val="20"/>
                <w:szCs w:val="20"/>
              </w:rPr>
            </w:pPr>
            <w:r>
              <w:rPr>
                <w:rFonts w:ascii="Arial Narrow" w:eastAsia="Arial Narrow" w:hAnsi="Arial Narrow" w:cs="Arial Narrow"/>
                <w:sz w:val="20"/>
                <w:szCs w:val="20"/>
              </w:rPr>
              <w:lastRenderedPageBreak/>
              <w:t>Artículo 4. Caracterización de la siniestralidad vial asociada a las rutas que operan desde y hacia terminales de transporte terrestre automotor de pasajeros por carretera en Bogotá (sedes Salitre, Satélite Norte y Satélite Sur).</w:t>
            </w:r>
            <w:r>
              <w:rPr>
                <w:rFonts w:ascii="Arial Narrow" w:eastAsia="Arial Narrow" w:hAnsi="Arial Narrow" w:cs="Arial Narrow"/>
                <w:b w:val="0"/>
                <w:sz w:val="20"/>
                <w:szCs w:val="20"/>
              </w:rPr>
              <w:t xml:space="preserve"> La Secretaría Distrital de Movilidad, en coordinación con el Observatorio de Movilidad y la Terminal de Transporte S.A, deberán elaborar anualmente un informe técnico que caracterice la siniestralidad vial vinculada asociada a las rutas que operan desde y hacia terminales de transporte terrestre automotor de pasajeros por carretera en Bogotá (sedes Salitre, Satélite Norte y Satélite Sur), haciendo énfasis en los factores de riesgo asociados a la fatiga y el cansancio de los conductores, los tiempos acumulados de conducción, las rutas con mayor exposición al riesgo y las posibles fallas en los mecanismos de control y rotación de personal.</w:t>
            </w:r>
          </w:p>
          <w:p w:rsidR="00D15A20" w:rsidRDefault="00D15A20">
            <w:pPr>
              <w:pBdr>
                <w:top w:val="nil"/>
                <w:left w:val="nil"/>
                <w:bottom w:val="nil"/>
                <w:right w:val="nil"/>
                <w:between w:val="nil"/>
              </w:pBdr>
              <w:jc w:val="both"/>
              <w:rPr>
                <w:rFonts w:ascii="Arial Narrow" w:eastAsia="Arial Narrow" w:hAnsi="Arial Narrow" w:cs="Arial Narrow"/>
                <w:color w:val="000000"/>
                <w:sz w:val="20"/>
                <w:szCs w:val="20"/>
                <w:highlight w:val="yellow"/>
              </w:rPr>
            </w:pPr>
          </w:p>
        </w:tc>
        <w:tc>
          <w:tcPr>
            <w:tcW w:w="3544" w:type="dxa"/>
          </w:tcPr>
          <w:p w:rsidR="00D15A20" w:rsidRDefault="00BD1E1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b/>
                <w:sz w:val="20"/>
                <w:szCs w:val="20"/>
              </w:rPr>
              <w:t xml:space="preserve">Artículo 4. Caracterización de la siniestralidad vial asociada a las rutas que operan desde y hacia terminales de transporte terrestre automotor de pasajeros por carretera en Bogotá: sedes Salitre, Satélite Norte y Satélite Sur </w:t>
            </w:r>
            <w:r>
              <w:rPr>
                <w:rFonts w:ascii="Arial Narrow" w:eastAsia="Arial Narrow" w:hAnsi="Arial Narrow" w:cs="Arial Narrow"/>
                <w:b/>
                <w:color w:val="FF0000"/>
                <w:sz w:val="20"/>
                <w:szCs w:val="20"/>
              </w:rPr>
              <w:t>y las que se constituyan.</w:t>
            </w:r>
            <w:r>
              <w:rPr>
                <w:rFonts w:ascii="Arial Narrow" w:eastAsia="Arial Narrow" w:hAnsi="Arial Narrow" w:cs="Arial Narrow"/>
                <w:color w:val="FF0000"/>
                <w:sz w:val="20"/>
                <w:szCs w:val="20"/>
              </w:rPr>
              <w:t xml:space="preserve"> </w:t>
            </w:r>
            <w:r>
              <w:rPr>
                <w:rFonts w:ascii="Arial Narrow" w:eastAsia="Arial Narrow" w:hAnsi="Arial Narrow" w:cs="Arial Narrow"/>
                <w:sz w:val="20"/>
                <w:szCs w:val="20"/>
              </w:rPr>
              <w:t xml:space="preserve">La Secretaría Distrital de Movilidad, en coordinación con el Observatorio de Movilidad y la Terminal de Transporte S.A, deberán elaborar anualmente un informe técnico que caracterice la siniestralidad vial vinculada asociada a las rutas que operan desde y hacia terminales de transporte terrestre automotor de pasajeros por carretera en Bogotá: sedes Salitre, Satélite Norte y Satélite Sur </w:t>
            </w:r>
            <w:r>
              <w:rPr>
                <w:rFonts w:ascii="Arial Narrow" w:eastAsia="Arial Narrow" w:hAnsi="Arial Narrow" w:cs="Arial Narrow"/>
                <w:color w:val="FF0000"/>
                <w:sz w:val="20"/>
                <w:szCs w:val="20"/>
              </w:rPr>
              <w:t>y las que se constituyan</w:t>
            </w:r>
            <w:r>
              <w:rPr>
                <w:rFonts w:ascii="Arial Narrow" w:eastAsia="Arial Narrow" w:hAnsi="Arial Narrow" w:cs="Arial Narrow"/>
                <w:b/>
                <w:sz w:val="20"/>
                <w:szCs w:val="20"/>
              </w:rPr>
              <w:t xml:space="preserve">, </w:t>
            </w:r>
            <w:r>
              <w:rPr>
                <w:rFonts w:ascii="Arial Narrow" w:eastAsia="Arial Narrow" w:hAnsi="Arial Narrow" w:cs="Arial Narrow"/>
                <w:sz w:val="20"/>
                <w:szCs w:val="20"/>
              </w:rPr>
              <w:t xml:space="preserve"> haciendo énfasis en los factores de riesgo asociados a la fatiga y el cansancio de los conductores, los tiempos acumulados de conducción, las rutas con mayor exposición al riesgo y las posibles fallas en los mecanismos de control y rotación de personal.</w:t>
            </w:r>
          </w:p>
          <w:p w:rsidR="00D15A20" w:rsidRDefault="00D15A20">
            <w:pPr>
              <w:pBdr>
                <w:top w:val="nil"/>
                <w:left w:val="nil"/>
                <w:bottom w:val="nil"/>
                <w:right w:val="nil"/>
                <w:between w:val="nil"/>
              </w:pBd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color w:val="000000"/>
                <w:sz w:val="20"/>
                <w:szCs w:val="20"/>
                <w:highlight w:val="yellow"/>
              </w:rPr>
            </w:pPr>
          </w:p>
        </w:tc>
        <w:tc>
          <w:tcPr>
            <w:tcW w:w="1748" w:type="dxa"/>
          </w:tcPr>
          <w:p w:rsidR="00D15A20" w:rsidRDefault="00BD1E1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rPr>
            </w:pPr>
            <w:r>
              <w:rPr>
                <w:rFonts w:ascii="Arial Narrow" w:eastAsia="Arial Narrow" w:hAnsi="Arial Narrow" w:cs="Arial Narrow"/>
                <w:sz w:val="20"/>
                <w:szCs w:val="20"/>
              </w:rPr>
              <w:t>No limitar el alcance del acuerdo dado que es un acuerdo para el distrito.</w:t>
            </w:r>
          </w:p>
          <w:p w:rsidR="00D15A20" w:rsidRDefault="00D15A20">
            <w:pPr>
              <w:jc w:val="both"/>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sz w:val="20"/>
                <w:szCs w:val="20"/>
                <w:highlight w:val="yellow"/>
              </w:rPr>
            </w:pPr>
          </w:p>
        </w:tc>
      </w:tr>
      <w:tr w:rsidR="00D15A20" w:rsidTr="00D15A20">
        <w:trPr>
          <w:jc w:val="center"/>
        </w:trPr>
        <w:tc>
          <w:tcPr>
            <w:cnfStyle w:val="001000000000" w:firstRow="0" w:lastRow="0" w:firstColumn="1" w:lastColumn="0" w:oddVBand="0" w:evenVBand="0" w:oddHBand="0" w:evenHBand="0" w:firstRowFirstColumn="0" w:firstRowLastColumn="0" w:lastRowFirstColumn="0" w:lastRowLastColumn="0"/>
            <w:tcW w:w="3539" w:type="dxa"/>
          </w:tcPr>
          <w:p w:rsidR="00D15A20" w:rsidRDefault="00BD1E10">
            <w:pPr>
              <w:jc w:val="both"/>
              <w:rPr>
                <w:rFonts w:ascii="Arial Narrow" w:eastAsia="Arial Narrow" w:hAnsi="Arial Narrow" w:cs="Arial Narrow"/>
                <w:sz w:val="20"/>
                <w:szCs w:val="20"/>
              </w:rPr>
            </w:pPr>
            <w:r>
              <w:rPr>
                <w:rFonts w:ascii="Arial Narrow" w:eastAsia="Arial Narrow" w:hAnsi="Arial Narrow" w:cs="Arial Narrow"/>
                <w:sz w:val="20"/>
                <w:szCs w:val="20"/>
              </w:rPr>
              <w:t>Artículo 5. Vigencia.</w:t>
            </w:r>
            <w:r>
              <w:rPr>
                <w:rFonts w:ascii="Arial Narrow" w:eastAsia="Arial Narrow" w:hAnsi="Arial Narrow" w:cs="Arial Narrow"/>
                <w:b w:val="0"/>
                <w:sz w:val="20"/>
                <w:szCs w:val="20"/>
              </w:rPr>
              <w:t xml:space="preserve"> El presente acuerdo rige a partir de la fecha de su publicación.</w:t>
            </w:r>
          </w:p>
          <w:p w:rsidR="00D15A20" w:rsidRDefault="00D15A20">
            <w:pPr>
              <w:pBdr>
                <w:top w:val="nil"/>
                <w:left w:val="nil"/>
                <w:bottom w:val="nil"/>
                <w:right w:val="nil"/>
                <w:between w:val="nil"/>
              </w:pBdr>
              <w:rPr>
                <w:rFonts w:ascii="Arial Narrow" w:eastAsia="Arial Narrow" w:hAnsi="Arial Narrow" w:cs="Arial Narrow"/>
                <w:color w:val="000000"/>
                <w:sz w:val="20"/>
                <w:szCs w:val="20"/>
                <w:highlight w:val="yellow"/>
              </w:rPr>
            </w:pPr>
          </w:p>
        </w:tc>
        <w:tc>
          <w:tcPr>
            <w:tcW w:w="3544" w:type="dxa"/>
          </w:tcPr>
          <w:p w:rsidR="00D15A20" w:rsidRDefault="00BD1E10">
            <w:pPr>
              <w:pBdr>
                <w:top w:val="nil"/>
                <w:left w:val="nil"/>
                <w:bottom w:val="nil"/>
                <w:right w:val="nil"/>
                <w:between w:val="nil"/>
              </w:pBdr>
              <w:jc w:val="center"/>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color w:val="000000"/>
                <w:sz w:val="20"/>
                <w:szCs w:val="20"/>
                <w:highlight w:val="yellow"/>
              </w:rPr>
            </w:pPr>
            <w:r>
              <w:rPr>
                <w:rFonts w:ascii="Arial Narrow" w:eastAsia="Arial Narrow" w:hAnsi="Arial Narrow" w:cs="Arial Narrow"/>
                <w:color w:val="000000"/>
                <w:sz w:val="20"/>
                <w:szCs w:val="20"/>
              </w:rPr>
              <w:t>Sin modificaciones</w:t>
            </w:r>
          </w:p>
        </w:tc>
        <w:tc>
          <w:tcPr>
            <w:tcW w:w="1748" w:type="dxa"/>
          </w:tcPr>
          <w:p w:rsidR="00D15A20" w:rsidRDefault="00BD1E10">
            <w:pPr>
              <w:pBdr>
                <w:top w:val="none" w:sz="0" w:space="0" w:color="000000"/>
                <w:left w:val="none" w:sz="0" w:space="0" w:color="000000"/>
                <w:bottom w:val="none" w:sz="0" w:space="0" w:color="000000"/>
                <w:right w:val="none" w:sz="0" w:space="0" w:color="000000"/>
                <w:between w:val="none" w:sz="0" w:space="0" w:color="000000"/>
              </w:pBdr>
              <w:jc w:val="center"/>
              <w:cnfStyle w:val="000000000000" w:firstRow="0" w:lastRow="0" w:firstColumn="0" w:lastColumn="0" w:oddVBand="0" w:evenVBand="0" w:oddHBand="0" w:evenHBand="0" w:firstRowFirstColumn="0" w:firstRowLastColumn="0" w:lastRowFirstColumn="0" w:lastRowLastColumn="0"/>
              <w:rPr>
                <w:rFonts w:ascii="Arial Narrow" w:eastAsia="Arial Narrow" w:hAnsi="Arial Narrow" w:cs="Arial Narrow"/>
                <w:color w:val="000000"/>
                <w:sz w:val="20"/>
                <w:szCs w:val="20"/>
                <w:highlight w:val="yellow"/>
              </w:rPr>
            </w:pPr>
            <w:r>
              <w:rPr>
                <w:rFonts w:ascii="Arial Narrow" w:eastAsia="Arial Narrow" w:hAnsi="Arial Narrow" w:cs="Arial Narrow"/>
                <w:color w:val="000000"/>
                <w:sz w:val="20"/>
                <w:szCs w:val="20"/>
              </w:rPr>
              <w:t>No aplica</w:t>
            </w:r>
          </w:p>
        </w:tc>
      </w:tr>
    </w:tbl>
    <w:p w:rsidR="00D15A20" w:rsidRDefault="00D15A20">
      <w:pPr>
        <w:pStyle w:val="Ttulo1"/>
        <w:ind w:left="360" w:firstLine="0"/>
        <w:jc w:val="left"/>
        <w:rPr>
          <w:rFonts w:ascii="Arial Narrow" w:eastAsia="Arial Narrow" w:hAnsi="Arial Narrow" w:cs="Arial Narrow"/>
          <w:b/>
          <w:sz w:val="22"/>
          <w:szCs w:val="22"/>
        </w:rPr>
      </w:pPr>
    </w:p>
    <w:p w:rsidR="00D15A20" w:rsidRDefault="00D15A20"/>
    <w:p w:rsidR="00D15A20" w:rsidRDefault="00BD1E10">
      <w:pPr>
        <w:pStyle w:val="Ttulo1"/>
        <w:numPr>
          <w:ilvl w:val="0"/>
          <w:numId w:val="15"/>
        </w:numPr>
        <w:jc w:val="left"/>
        <w:rPr>
          <w:rFonts w:ascii="Arial Narrow" w:eastAsia="Arial Narrow" w:hAnsi="Arial Narrow" w:cs="Arial Narrow"/>
          <w:b/>
          <w:sz w:val="22"/>
          <w:szCs w:val="22"/>
        </w:rPr>
      </w:pPr>
      <w:r>
        <w:rPr>
          <w:rFonts w:ascii="Arial Narrow" w:eastAsia="Arial Narrow" w:hAnsi="Arial Narrow" w:cs="Arial Narrow"/>
          <w:b/>
          <w:sz w:val="22"/>
          <w:szCs w:val="22"/>
        </w:rPr>
        <w:t>CONCLUSIÓN</w:t>
      </w:r>
    </w:p>
    <w:p w:rsidR="00D15A20" w:rsidRDefault="00D15A20">
      <w:pPr>
        <w:jc w:val="both"/>
        <w:rPr>
          <w:rFonts w:ascii="Arial Narrow" w:eastAsia="Arial Narrow" w:hAnsi="Arial Narrow" w:cs="Arial Narrow"/>
          <w:sz w:val="22"/>
          <w:szCs w:val="22"/>
        </w:rPr>
      </w:pPr>
    </w:p>
    <w:p w:rsidR="00D15A20" w:rsidRDefault="00BD1E10">
      <w:pPr>
        <w:jc w:val="both"/>
        <w:rPr>
          <w:rFonts w:ascii="Arial Narrow" w:eastAsia="Arial Narrow" w:hAnsi="Arial Narrow" w:cs="Arial Narrow"/>
          <w:i/>
          <w:sz w:val="22"/>
          <w:szCs w:val="22"/>
        </w:rPr>
      </w:pPr>
      <w:r>
        <w:rPr>
          <w:rFonts w:ascii="Arial Narrow" w:eastAsia="Arial Narrow" w:hAnsi="Arial Narrow" w:cs="Arial Narrow"/>
          <w:sz w:val="22"/>
          <w:szCs w:val="22"/>
        </w:rPr>
        <w:t xml:space="preserve">Conforme a los anteriores argumentos, </w:t>
      </w:r>
      <w:r>
        <w:rPr>
          <w:rFonts w:ascii="Arial Narrow" w:eastAsia="Arial Narrow" w:hAnsi="Arial Narrow" w:cs="Arial Narrow"/>
          <w:b/>
          <w:sz w:val="22"/>
          <w:szCs w:val="22"/>
        </w:rPr>
        <w:t xml:space="preserve">PRESENTAMOS PONENCIA POSITIVA CON MODIFICACIONES </w:t>
      </w:r>
      <w:r>
        <w:rPr>
          <w:rFonts w:ascii="Arial Narrow" w:eastAsia="Arial Narrow" w:hAnsi="Arial Narrow" w:cs="Arial Narrow"/>
          <w:sz w:val="22"/>
          <w:szCs w:val="22"/>
        </w:rPr>
        <w:t xml:space="preserve">al proyecto de acuerdo </w:t>
      </w:r>
      <w:r>
        <w:rPr>
          <w:rFonts w:ascii="Arial Narrow" w:eastAsia="Arial Narrow" w:hAnsi="Arial Narrow" w:cs="Arial Narrow"/>
          <w:b/>
          <w:sz w:val="22"/>
          <w:szCs w:val="22"/>
        </w:rPr>
        <w:t>No. 471 de 2025</w:t>
      </w:r>
      <w:r>
        <w:rPr>
          <w:rFonts w:ascii="Arial Narrow" w:eastAsia="Arial Narrow" w:hAnsi="Arial Narrow" w:cs="Arial Narrow"/>
          <w:i/>
          <w:sz w:val="22"/>
          <w:szCs w:val="22"/>
        </w:rPr>
        <w:t xml:space="preserve"> </w:t>
      </w:r>
      <w:r>
        <w:rPr>
          <w:rFonts w:ascii="Arial Narrow" w:eastAsia="Arial Narrow" w:hAnsi="Arial Narrow" w:cs="Arial Narrow"/>
          <w:sz w:val="22"/>
          <w:szCs w:val="22"/>
        </w:rPr>
        <w:t>"Por el cual se establece un protocolo para gestionar la fatiga y cansancio en los conductores que operan en los terminales de transporte terrestre automotor de pasajeros por carretera y se dictan otras disposiciones”.</w:t>
      </w:r>
    </w:p>
    <w:p w:rsidR="00D15A20" w:rsidRDefault="00D15A20">
      <w:pPr>
        <w:jc w:val="center"/>
        <w:rPr>
          <w:rFonts w:ascii="Arial Narrow" w:eastAsia="Arial Narrow" w:hAnsi="Arial Narrow" w:cs="Arial Narrow"/>
          <w:sz w:val="22"/>
          <w:szCs w:val="22"/>
          <w:highlight w:val="yellow"/>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 xml:space="preserve">Atentamente, </w:t>
      </w:r>
    </w:p>
    <w:p w:rsidR="00D15A20" w:rsidRDefault="00D15A20">
      <w:pPr>
        <w:jc w:val="both"/>
        <w:rPr>
          <w:rFonts w:ascii="Arial Narrow" w:eastAsia="Arial Narrow" w:hAnsi="Arial Narrow" w:cs="Arial Narrow"/>
          <w:sz w:val="22"/>
          <w:szCs w:val="22"/>
        </w:rPr>
      </w:pPr>
    </w:p>
    <w:p w:rsidR="00D15A20" w:rsidRDefault="00D15A20">
      <w:pPr>
        <w:jc w:val="both"/>
        <w:rPr>
          <w:rFonts w:ascii="Arial Narrow" w:eastAsia="Arial Narrow" w:hAnsi="Arial Narrow" w:cs="Arial Narrow"/>
          <w:sz w:val="22"/>
          <w:szCs w:val="22"/>
        </w:rPr>
      </w:pPr>
    </w:p>
    <w:p w:rsidR="00D15A20" w:rsidRDefault="00D15A20">
      <w:pPr>
        <w:jc w:val="both"/>
        <w:rPr>
          <w:rFonts w:ascii="Arial Narrow" w:eastAsia="Arial Narrow" w:hAnsi="Arial Narrow" w:cs="Arial Narrow"/>
          <w:sz w:val="22"/>
          <w:szCs w:val="22"/>
        </w:rPr>
      </w:pPr>
    </w:p>
    <w:p w:rsidR="00D15A20" w:rsidRDefault="00BD1E10">
      <w:pPr>
        <w:jc w:val="both"/>
        <w:rPr>
          <w:rFonts w:ascii="Arial Narrow" w:eastAsia="Arial Narrow" w:hAnsi="Arial Narrow" w:cs="Arial Narrow"/>
          <w:b/>
          <w:sz w:val="22"/>
          <w:szCs w:val="22"/>
        </w:rPr>
      </w:pPr>
      <w:r>
        <w:rPr>
          <w:rFonts w:ascii="Arial Narrow" w:eastAsia="Arial Narrow" w:hAnsi="Arial Narrow" w:cs="Arial Narrow"/>
          <w:b/>
          <w:sz w:val="22"/>
          <w:szCs w:val="22"/>
        </w:rPr>
        <w:t>SAMIR BEDOYA PIRAQUIVE</w:t>
      </w: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Concejal de Bogotá</w:t>
      </w:r>
    </w:p>
    <w:p w:rsidR="00D15A20" w:rsidRDefault="00BD1E10">
      <w:pPr>
        <w:jc w:val="both"/>
        <w:rPr>
          <w:rFonts w:ascii="Arial Narrow" w:eastAsia="Arial Narrow" w:hAnsi="Arial Narrow" w:cs="Arial Narrow"/>
          <w:sz w:val="22"/>
          <w:szCs w:val="22"/>
        </w:rPr>
      </w:pPr>
      <w:r>
        <w:rPr>
          <w:rFonts w:ascii="Arial Narrow" w:eastAsia="Arial Narrow" w:hAnsi="Arial Narrow" w:cs="Arial Narrow"/>
          <w:sz w:val="22"/>
          <w:szCs w:val="22"/>
        </w:rPr>
        <w:t>Partido Político MIRA</w:t>
      </w:r>
    </w:p>
    <w:p w:rsidR="00D15A20" w:rsidRDefault="00BD1E10">
      <w:pPr>
        <w:jc w:val="both"/>
        <w:rPr>
          <w:rFonts w:ascii="Arial Narrow" w:eastAsia="Arial Narrow" w:hAnsi="Arial Narrow" w:cs="Arial Narrow"/>
          <w:b/>
          <w:color w:val="000000"/>
          <w:sz w:val="22"/>
          <w:szCs w:val="22"/>
          <w:highlight w:val="yellow"/>
        </w:rPr>
      </w:pPr>
      <w:r>
        <w:rPr>
          <w:rFonts w:ascii="Arial Narrow" w:eastAsia="Arial Narrow" w:hAnsi="Arial Narrow" w:cs="Arial Narrow"/>
          <w:sz w:val="22"/>
          <w:szCs w:val="22"/>
        </w:rPr>
        <w:t>Ponente</w:t>
      </w:r>
      <w:r>
        <w:br w:type="page"/>
      </w:r>
    </w:p>
    <w:p w:rsidR="00D15A20" w:rsidRDefault="00BD1E10">
      <w:pPr>
        <w:pBdr>
          <w:top w:val="nil"/>
          <w:left w:val="nil"/>
          <w:bottom w:val="nil"/>
          <w:right w:val="nil"/>
          <w:between w:val="nil"/>
        </w:pBdr>
        <w:ind w:left="720"/>
        <w:jc w:val="center"/>
        <w:rPr>
          <w:rFonts w:ascii="Arial Narrow" w:eastAsia="Arial Narrow" w:hAnsi="Arial Narrow" w:cs="Arial Narrow"/>
          <w:b/>
          <w:color w:val="000000"/>
          <w:sz w:val="22"/>
          <w:szCs w:val="22"/>
        </w:rPr>
      </w:pPr>
      <w:r>
        <w:rPr>
          <w:rFonts w:ascii="Arial Narrow" w:eastAsia="Arial Narrow" w:hAnsi="Arial Narrow" w:cs="Arial Narrow"/>
          <w:b/>
          <w:color w:val="000000"/>
          <w:sz w:val="22"/>
          <w:szCs w:val="22"/>
        </w:rPr>
        <w:lastRenderedPageBreak/>
        <w:t>PROYECTO DE ACUERDO ____________ DE 2025</w:t>
      </w:r>
    </w:p>
    <w:p w:rsidR="00D15A20" w:rsidRDefault="00D15A20">
      <w:pPr>
        <w:pBdr>
          <w:top w:val="nil"/>
          <w:left w:val="nil"/>
          <w:bottom w:val="nil"/>
          <w:right w:val="nil"/>
          <w:between w:val="nil"/>
        </w:pBdr>
        <w:ind w:left="720"/>
        <w:jc w:val="center"/>
        <w:rPr>
          <w:rFonts w:ascii="Arial Narrow" w:eastAsia="Arial Narrow" w:hAnsi="Arial Narrow" w:cs="Arial Narrow"/>
          <w:b/>
          <w:color w:val="000000"/>
          <w:sz w:val="22"/>
          <w:szCs w:val="22"/>
        </w:rPr>
      </w:pPr>
    </w:p>
    <w:p w:rsidR="00D15A20" w:rsidRDefault="00BD1E10">
      <w:pPr>
        <w:spacing w:before="240" w:after="240"/>
        <w:jc w:val="center"/>
        <w:rPr>
          <w:rFonts w:ascii="Arial Narrow" w:eastAsia="Arial Narrow" w:hAnsi="Arial Narrow" w:cs="Arial Narrow"/>
          <w:b/>
          <w:i/>
          <w:sz w:val="22"/>
          <w:szCs w:val="22"/>
        </w:rPr>
      </w:pPr>
      <w:r>
        <w:rPr>
          <w:rFonts w:ascii="Arial Narrow" w:eastAsia="Arial Narrow" w:hAnsi="Arial Narrow" w:cs="Arial Narrow"/>
          <w:b/>
          <w:i/>
          <w:sz w:val="22"/>
          <w:szCs w:val="22"/>
        </w:rPr>
        <w:t>“POR EL CUAL SE ESTABLECE UN PROTOCOLO PARA GESTIONAR LA FATIGA Y EL CANSANCIO EN LOS CONDUCTORES QUE OPERAN EN LOS TERMINALES DE TRANSPORTE TERRESTRE AUTOMOTOR DE PASAJEROS POR CARRETERA EN BOGOTÁ Y SE DICTAN OTRAS DISPOSICIONES”</w:t>
      </w:r>
    </w:p>
    <w:p w:rsidR="00D15A20" w:rsidRDefault="00BD1E10">
      <w:pPr>
        <w:spacing w:before="240" w:after="240"/>
        <w:jc w:val="center"/>
        <w:rPr>
          <w:rFonts w:ascii="Arial Narrow" w:eastAsia="Arial Narrow" w:hAnsi="Arial Narrow" w:cs="Arial Narrow"/>
          <w:b/>
          <w:sz w:val="22"/>
          <w:szCs w:val="22"/>
        </w:rPr>
      </w:pPr>
      <w:r>
        <w:rPr>
          <w:rFonts w:ascii="Arial Narrow" w:eastAsia="Arial Narrow" w:hAnsi="Arial Narrow" w:cs="Arial Narrow"/>
          <w:b/>
          <w:sz w:val="22"/>
          <w:szCs w:val="22"/>
        </w:rPr>
        <w:t>EL CONCEJO DE BOGOTÁ D.C</w:t>
      </w:r>
    </w:p>
    <w:p w:rsidR="00D15A20" w:rsidRDefault="00BD1E10">
      <w:pPr>
        <w:spacing w:before="240" w:after="240"/>
        <w:jc w:val="center"/>
        <w:rPr>
          <w:rFonts w:ascii="Arial Narrow" w:eastAsia="Arial Narrow" w:hAnsi="Arial Narrow" w:cs="Arial Narrow"/>
          <w:b/>
          <w:sz w:val="22"/>
          <w:szCs w:val="22"/>
        </w:rPr>
      </w:pPr>
      <w:r>
        <w:rPr>
          <w:rFonts w:ascii="Arial Narrow" w:eastAsia="Arial Narrow" w:hAnsi="Arial Narrow" w:cs="Arial Narrow"/>
          <w:b/>
          <w:sz w:val="22"/>
          <w:szCs w:val="22"/>
        </w:rPr>
        <w:t>En ejercicio de sus atribuciones Constitucionales y Legales, en especial las conferidas por el numeral 1, del artículo 12 del Decreto Ley 1421 de 1993</w:t>
      </w:r>
    </w:p>
    <w:p w:rsidR="00D15A20" w:rsidRDefault="00BD1E10">
      <w:pPr>
        <w:jc w:val="both"/>
        <w:rPr>
          <w:rFonts w:ascii="Arial Narrow" w:eastAsia="Arial Narrow" w:hAnsi="Arial Narrow" w:cs="Arial Narrow"/>
          <w:b/>
          <w:sz w:val="22"/>
          <w:szCs w:val="22"/>
        </w:rPr>
      </w:pPr>
      <w:r>
        <w:rPr>
          <w:rFonts w:ascii="Arial Narrow" w:eastAsia="Arial Narrow" w:hAnsi="Arial Narrow" w:cs="Arial Narrow"/>
          <w:b/>
          <w:sz w:val="22"/>
          <w:szCs w:val="22"/>
        </w:rPr>
        <w:t>ACUERDA</w:t>
      </w:r>
    </w:p>
    <w:p w:rsidR="00D15A20" w:rsidRDefault="00BD1E10">
      <w:pPr>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1. Objeto. </w:t>
      </w:r>
      <w:r>
        <w:rPr>
          <w:rFonts w:ascii="Arial Narrow" w:eastAsia="Arial Narrow" w:hAnsi="Arial Narrow" w:cs="Arial Narrow"/>
          <w:sz w:val="22"/>
          <w:szCs w:val="22"/>
        </w:rPr>
        <w:t>Establecer un protocolo para gestionar la fatiga y el cansancio en los conductores que operan rutas desde y hacia terminales de transporte terrestre automotor de pasajeros por carretera en Bogotá: sedes Salitre, Satélite Norte y Satélite Sur y las que se constituyan,</w:t>
      </w:r>
    </w:p>
    <w:p w:rsidR="00D15A20" w:rsidRDefault="00D15A20">
      <w:pPr>
        <w:jc w:val="both"/>
        <w:rPr>
          <w:rFonts w:ascii="Arial Narrow" w:eastAsia="Arial Narrow" w:hAnsi="Arial Narrow" w:cs="Arial Narrow"/>
          <w:sz w:val="22"/>
          <w:szCs w:val="22"/>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b/>
          <w:sz w:val="22"/>
          <w:szCs w:val="22"/>
        </w:rPr>
        <w:t>Artículo 2. Fases del protocolo.</w:t>
      </w:r>
      <w:r>
        <w:rPr>
          <w:rFonts w:ascii="Arial Narrow" w:eastAsia="Arial Narrow" w:hAnsi="Arial Narrow" w:cs="Arial Narrow"/>
          <w:sz w:val="22"/>
          <w:szCs w:val="22"/>
        </w:rPr>
        <w:t xml:space="preserve">  El presente protocolo deberá estructurarse en cuatro fases principales:</w:t>
      </w:r>
    </w:p>
    <w:p w:rsidR="00D15A20" w:rsidRDefault="00D15A20">
      <w:pPr>
        <w:jc w:val="both"/>
        <w:rPr>
          <w:rFonts w:ascii="Arial Narrow" w:eastAsia="Arial Narrow" w:hAnsi="Arial Narrow" w:cs="Arial Narrow"/>
          <w:sz w:val="22"/>
          <w:szCs w:val="22"/>
        </w:rPr>
      </w:pPr>
    </w:p>
    <w:p w:rsidR="00D15A20" w:rsidRDefault="00BD1E10">
      <w:pPr>
        <w:numPr>
          <w:ilvl w:val="0"/>
          <w:numId w:val="12"/>
        </w:numPr>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Prevención: </w:t>
      </w:r>
      <w:r>
        <w:rPr>
          <w:rFonts w:ascii="Arial Narrow" w:eastAsia="Arial Narrow" w:hAnsi="Arial Narrow" w:cs="Arial Narrow"/>
          <w:sz w:val="22"/>
          <w:szCs w:val="22"/>
        </w:rPr>
        <w:t xml:space="preserve"> Se deben incluir acciones dirigidas a evitar la aparición de la fatiga y cansancio a través de campañas activas y jornadas informativas sobre el riesgo que representa la fatiga al volante.</w:t>
      </w:r>
    </w:p>
    <w:p w:rsidR="00D15A20" w:rsidRDefault="00BD1E10">
      <w:pPr>
        <w:numPr>
          <w:ilvl w:val="0"/>
          <w:numId w:val="12"/>
        </w:numPr>
        <w:jc w:val="both"/>
        <w:rPr>
          <w:rFonts w:ascii="Arial Narrow" w:eastAsia="Arial Narrow" w:hAnsi="Arial Narrow" w:cs="Arial Narrow"/>
          <w:sz w:val="22"/>
          <w:szCs w:val="22"/>
        </w:rPr>
      </w:pPr>
      <w:r>
        <w:rPr>
          <w:rFonts w:ascii="Arial Narrow" w:eastAsia="Arial Narrow" w:hAnsi="Arial Narrow" w:cs="Arial Narrow"/>
          <w:b/>
          <w:sz w:val="22"/>
          <w:szCs w:val="22"/>
        </w:rPr>
        <w:t>Monitoreo y control:</w:t>
      </w:r>
      <w:r>
        <w:rPr>
          <w:rFonts w:ascii="Arial Narrow" w:eastAsia="Arial Narrow" w:hAnsi="Arial Narrow" w:cs="Arial Narrow"/>
          <w:sz w:val="22"/>
          <w:szCs w:val="22"/>
        </w:rPr>
        <w:t xml:space="preserve"> Se deberá integrar un sistema de registro de las horas de conducción acumuladas por cada conductor, así como la implementación de mecanismos automáticos de rotación laboral que impidan jornadas excesivas que pongan en riesgo la integridad del conductor y los pasajeros.</w:t>
      </w:r>
    </w:p>
    <w:p w:rsidR="00D15A20" w:rsidRDefault="00BD1E10">
      <w:pPr>
        <w:numPr>
          <w:ilvl w:val="0"/>
          <w:numId w:val="12"/>
        </w:numPr>
        <w:jc w:val="both"/>
        <w:rPr>
          <w:rFonts w:ascii="Arial Narrow" w:eastAsia="Arial Narrow" w:hAnsi="Arial Narrow" w:cs="Arial Narrow"/>
          <w:sz w:val="22"/>
          <w:szCs w:val="22"/>
        </w:rPr>
      </w:pPr>
      <w:r>
        <w:rPr>
          <w:rFonts w:ascii="Arial Narrow" w:eastAsia="Arial Narrow" w:hAnsi="Arial Narrow" w:cs="Arial Narrow"/>
          <w:b/>
          <w:sz w:val="22"/>
          <w:szCs w:val="22"/>
        </w:rPr>
        <w:t>Intervención inmediata:</w:t>
      </w:r>
      <w:r>
        <w:rPr>
          <w:rFonts w:ascii="Arial Narrow" w:eastAsia="Arial Narrow" w:hAnsi="Arial Narrow" w:cs="Arial Narrow"/>
          <w:sz w:val="22"/>
          <w:szCs w:val="22"/>
        </w:rPr>
        <w:t xml:space="preserve">  Una vez detectado el escenario de fatiga, se dará la activación de protocolo de respuesta, permitiendo el relevo inmediato del conductor, la disponibilidad de zonas adecuadas de descanso, y la atención médica básica.</w:t>
      </w:r>
    </w:p>
    <w:p w:rsidR="00D15A20" w:rsidRDefault="00BD1E10">
      <w:pPr>
        <w:numPr>
          <w:ilvl w:val="0"/>
          <w:numId w:val="12"/>
        </w:numPr>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Evaluación y seguimiento: </w:t>
      </w:r>
      <w:r>
        <w:rPr>
          <w:rFonts w:ascii="Arial Narrow" w:eastAsia="Arial Narrow" w:hAnsi="Arial Narrow" w:cs="Arial Narrow"/>
          <w:sz w:val="22"/>
          <w:szCs w:val="22"/>
        </w:rPr>
        <w:t xml:space="preserve"> Se establecerán indicadores de implementación del protocolo, se verificará el uso de las zonas de descanso, y se consolidará la información sobre siniestros asociados a fatiga para ser considerada en los ajustes</w:t>
      </w:r>
    </w:p>
    <w:p w:rsidR="00D15A20" w:rsidRDefault="00D15A20">
      <w:pPr>
        <w:ind w:left="720"/>
        <w:jc w:val="both"/>
        <w:rPr>
          <w:rFonts w:ascii="Arial Narrow" w:eastAsia="Arial Narrow" w:hAnsi="Arial Narrow" w:cs="Arial Narrow"/>
          <w:sz w:val="22"/>
          <w:szCs w:val="22"/>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3. Contenido mínimo del protocolo. </w:t>
      </w:r>
      <w:r>
        <w:rPr>
          <w:rFonts w:ascii="Arial Narrow" w:eastAsia="Arial Narrow" w:hAnsi="Arial Narrow" w:cs="Arial Narrow"/>
          <w:sz w:val="22"/>
          <w:szCs w:val="22"/>
        </w:rPr>
        <w:t>El protocolo para gestionar la fatiga y el cansancio en los conductores que operan en desde y hacia terminales de transporte terrestre automotor de pasajeros por carretera en  Bogotá: sedes Salitre, Satélite Norte y Satélite Sur y las que se constituyan, deberá contener, como mínimo, los siguientes componentes:</w:t>
      </w:r>
    </w:p>
    <w:p w:rsidR="00D15A20" w:rsidRDefault="00D15A20">
      <w:pPr>
        <w:jc w:val="both"/>
        <w:rPr>
          <w:rFonts w:ascii="Arial Narrow" w:eastAsia="Arial Narrow" w:hAnsi="Arial Narrow" w:cs="Arial Narrow"/>
          <w:sz w:val="22"/>
          <w:szCs w:val="22"/>
        </w:rPr>
      </w:pPr>
    </w:p>
    <w:p w:rsidR="00D15A20" w:rsidRDefault="00BD1E10">
      <w:pPr>
        <w:numPr>
          <w:ilvl w:val="0"/>
          <w:numId w:val="13"/>
        </w:numPr>
        <w:jc w:val="both"/>
        <w:rPr>
          <w:rFonts w:ascii="Arial Narrow" w:eastAsia="Arial Narrow" w:hAnsi="Arial Narrow" w:cs="Arial Narrow"/>
          <w:sz w:val="22"/>
          <w:szCs w:val="22"/>
        </w:rPr>
      </w:pPr>
      <w:r>
        <w:rPr>
          <w:rFonts w:ascii="Arial Narrow" w:eastAsia="Arial Narrow" w:hAnsi="Arial Narrow" w:cs="Arial Narrow"/>
          <w:sz w:val="22"/>
          <w:szCs w:val="22"/>
        </w:rPr>
        <w:t>Espacios de descanso: la Terminal de Transporte S.A deberá contar con zonas equipadas adecuadamente para que los conductores puedan descansar y recuperarse antes y después de los trayectos de las rutas que operen con origen o destino Bogotá D.C.</w:t>
      </w:r>
    </w:p>
    <w:p w:rsidR="00D15A20" w:rsidRDefault="00BD1E10">
      <w:pPr>
        <w:numPr>
          <w:ilvl w:val="0"/>
          <w:numId w:val="13"/>
        </w:numPr>
        <w:jc w:val="both"/>
        <w:rPr>
          <w:rFonts w:ascii="Arial Narrow" w:eastAsia="Arial Narrow" w:hAnsi="Arial Narrow" w:cs="Arial Narrow"/>
          <w:sz w:val="22"/>
          <w:szCs w:val="22"/>
        </w:rPr>
      </w:pPr>
      <w:r>
        <w:rPr>
          <w:rFonts w:ascii="Arial Narrow" w:eastAsia="Arial Narrow" w:hAnsi="Arial Narrow" w:cs="Arial Narrow"/>
          <w:sz w:val="22"/>
          <w:szCs w:val="22"/>
        </w:rPr>
        <w:t xml:space="preserve">Mecanismo de control para la rotación del personal: Las empresas de transporte terrestre automotor de pasajeros por carretera que tengan autorizadas o registradas rutas con origen o destino Bogotá </w:t>
      </w:r>
      <w:r>
        <w:rPr>
          <w:rFonts w:ascii="Arial Narrow" w:eastAsia="Arial Narrow" w:hAnsi="Arial Narrow" w:cs="Arial Narrow"/>
          <w:sz w:val="22"/>
          <w:szCs w:val="22"/>
        </w:rPr>
        <w:lastRenderedPageBreak/>
        <w:t>D.C., deberán implementar mecanismos estandarizados para evitar excesos en las horas continuas de conducción, la repetición injustificada de turnos, y los intervalos inadecuados e insuficientes entre trayectos por parte de los conductores.</w:t>
      </w: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Dentro de este componente, y de conformidad con los lineamientos del Ministerio de Transporte, de la Agencia Nacional de Seguridad Vial y demás autoridades competentes, la Terminal de Transporte S.A definirá los estándares mínimos de control para la rotación de personal (máximo de horas permitidas de conducción continua, intervalos adecuados de descanso entre trayectos, pausas activas, entre otros) y los comunicará oportunamente a las empresas de transporte terrestre automotor de pasajeros por carretera que tengan autorizadas o registradas rutas con origen o destino Bogotá D.C.</w:t>
      </w:r>
    </w:p>
    <w:p w:rsidR="00D15A20" w:rsidRDefault="00BD1E10">
      <w:pPr>
        <w:ind w:left="720"/>
        <w:jc w:val="both"/>
        <w:rPr>
          <w:rFonts w:ascii="Arial Narrow" w:eastAsia="Arial Narrow" w:hAnsi="Arial Narrow" w:cs="Arial Narrow"/>
          <w:sz w:val="22"/>
          <w:szCs w:val="22"/>
        </w:rPr>
      </w:pPr>
      <w:r>
        <w:rPr>
          <w:rFonts w:ascii="Arial Narrow" w:eastAsia="Arial Narrow" w:hAnsi="Arial Narrow" w:cs="Arial Narrow"/>
          <w:sz w:val="22"/>
          <w:szCs w:val="22"/>
        </w:rPr>
        <w:t>La Terminal de Transporte S.A establecerá los mecanismos de seguimiento y verificación del cumplimiento de los criterios de control para la rotación del personal a los que hace referencia el presente numeral.</w:t>
      </w:r>
    </w:p>
    <w:p w:rsidR="00D15A20" w:rsidRDefault="00BD1E10">
      <w:pPr>
        <w:numPr>
          <w:ilvl w:val="0"/>
          <w:numId w:val="14"/>
        </w:numPr>
        <w:jc w:val="both"/>
        <w:rPr>
          <w:rFonts w:ascii="Arial Narrow" w:eastAsia="Arial Narrow" w:hAnsi="Arial Narrow" w:cs="Arial Narrow"/>
          <w:sz w:val="22"/>
          <w:szCs w:val="22"/>
        </w:rPr>
      </w:pPr>
      <w:r>
        <w:rPr>
          <w:rFonts w:ascii="Arial Narrow" w:eastAsia="Arial Narrow" w:hAnsi="Arial Narrow" w:cs="Arial Narrow"/>
          <w:sz w:val="22"/>
          <w:szCs w:val="22"/>
        </w:rPr>
        <w:t>Identificación de los conductores que operan rutas desde y hacia terminales de transporte terrestre automotor de pasajeros por carretera en Bogotá: la Terminal de Transporte S.A definirá los mecanismos necesarios para digitalizar y garantizar el acceso a la información por parte de los usuarios sobre la identificación de cada conductor que opera rutas desde y hacia terminales de transporte terrestre automotor de pasajeros por carretera en Bogotá. La información de cada conductor contemplará, como mínimo: i) nombre completo; ii) empresa a la que se encuentra vinculado; iii) ruta o rutas que opera en tiempo real; iv) restricciones o limitaciones para conducir; v) estado de salud; vi) controles de fatiga realizados en su última jornada; y vii) horas acumuladas continuas de conducción.</w:t>
      </w:r>
    </w:p>
    <w:p w:rsidR="00D15A20" w:rsidRDefault="00BD1E10">
      <w:pPr>
        <w:numPr>
          <w:ilvl w:val="0"/>
          <w:numId w:val="14"/>
        </w:numPr>
        <w:jc w:val="both"/>
        <w:rPr>
          <w:rFonts w:ascii="Arial Narrow" w:eastAsia="Arial Narrow" w:hAnsi="Arial Narrow" w:cs="Arial Narrow"/>
          <w:sz w:val="22"/>
          <w:szCs w:val="22"/>
        </w:rPr>
      </w:pPr>
      <w:r>
        <w:rPr>
          <w:rFonts w:ascii="Arial Narrow" w:eastAsia="Arial Narrow" w:hAnsi="Arial Narrow" w:cs="Arial Narrow"/>
          <w:sz w:val="22"/>
          <w:szCs w:val="22"/>
        </w:rPr>
        <w:t>Información del estado del vehículo: la Terminal de Transporte S.A definirá los mecanismos necesarios para digitalizar y garantizar el acceso a la información por parte de los usuarios sobre la información del vehículo que opera cada ruta desde y hacia terminales de transporte terrestre automotor de pasajeros por carretera en Bogotá en tiempo real (placa, ruta, hora de salida, empresa operadora, modelo, verificación de revisión técnico mecánica, horas continuas de operación, entre otros).</w:t>
      </w:r>
    </w:p>
    <w:p w:rsidR="00D15A20" w:rsidRDefault="00BD1E10">
      <w:pPr>
        <w:numPr>
          <w:ilvl w:val="0"/>
          <w:numId w:val="14"/>
        </w:numPr>
        <w:jc w:val="both"/>
        <w:rPr>
          <w:rFonts w:ascii="Arial Narrow" w:eastAsia="Arial Narrow" w:hAnsi="Arial Narrow" w:cs="Arial Narrow"/>
          <w:sz w:val="22"/>
          <w:szCs w:val="22"/>
        </w:rPr>
      </w:pPr>
      <w:r>
        <w:rPr>
          <w:rFonts w:ascii="Arial Narrow" w:eastAsia="Arial Narrow" w:hAnsi="Arial Narrow" w:cs="Arial Narrow"/>
          <w:sz w:val="22"/>
          <w:szCs w:val="22"/>
        </w:rPr>
        <w:t>Modernización de los mecanismos para la detección de fatiga y el cansancio: la Terminal de Transporte S.A y las empresas de transporte terrestre automotor de pasajeros por carretera que tengan autorizadas o registradas rutas con origen o destino Bogotá D.C, aunarán esfuerzos para incorporar herramientas tecnológicas aptas y actualizadas para detectar signos de fatiga y cansancio en los conductores (sensores de parpadeo, inteligencia artificial aplicada a cámaras, entre otros.).</w:t>
      </w:r>
    </w:p>
    <w:p w:rsidR="00D15A20" w:rsidRDefault="00BD1E10">
      <w:pPr>
        <w:numPr>
          <w:ilvl w:val="0"/>
          <w:numId w:val="14"/>
        </w:numPr>
        <w:jc w:val="both"/>
        <w:rPr>
          <w:rFonts w:ascii="Arial Narrow" w:eastAsia="Arial Narrow" w:hAnsi="Arial Narrow" w:cs="Arial Narrow"/>
          <w:sz w:val="22"/>
          <w:szCs w:val="22"/>
        </w:rPr>
      </w:pPr>
      <w:r>
        <w:rPr>
          <w:rFonts w:ascii="Arial Narrow" w:eastAsia="Arial Narrow" w:hAnsi="Arial Narrow" w:cs="Arial Narrow"/>
          <w:sz w:val="22"/>
          <w:szCs w:val="22"/>
        </w:rPr>
        <w:t>Identificación de patrones de fatiga: la Terminal de Transporte S.A deberá establecer criterios clínicos y conductuales que permitan la detección temprana y la identificación de patrones de fatiga en los conductores que opera rutas desde y hacia terminales de transporte terrestre automotor de pasajeros por carretera en Bogotá, así como protocolos para actuar en caso de materializarse los riesgos de fatiga.</w:t>
      </w:r>
    </w:p>
    <w:p w:rsidR="00D15A20" w:rsidRDefault="00BD1E10">
      <w:pPr>
        <w:numPr>
          <w:ilvl w:val="0"/>
          <w:numId w:val="14"/>
        </w:numPr>
        <w:jc w:val="both"/>
        <w:rPr>
          <w:rFonts w:ascii="Arial Narrow" w:eastAsia="Arial Narrow" w:hAnsi="Arial Narrow" w:cs="Arial Narrow"/>
          <w:sz w:val="22"/>
          <w:szCs w:val="22"/>
        </w:rPr>
      </w:pPr>
      <w:r>
        <w:rPr>
          <w:rFonts w:ascii="Arial Narrow" w:eastAsia="Arial Narrow" w:hAnsi="Arial Narrow" w:cs="Arial Narrow"/>
          <w:sz w:val="22"/>
          <w:szCs w:val="22"/>
        </w:rPr>
        <w:t>Interoperabilidad de información: la información derivada del presente protocolo será interoperable entre las empresas transportadoras, las Terminales de Transporte y la Secretaría Distrital de Movilidad. Esta información deberá permitir el seguimiento, alertar posibles excesos de jornada y facilitar la verificación de cumplimiento del protocolo.</w:t>
      </w:r>
    </w:p>
    <w:p w:rsidR="00D15A20" w:rsidRDefault="00BD1E10">
      <w:pPr>
        <w:numPr>
          <w:ilvl w:val="0"/>
          <w:numId w:val="14"/>
        </w:numPr>
        <w:jc w:val="both"/>
        <w:rPr>
          <w:rFonts w:ascii="Arial Narrow" w:eastAsia="Arial Narrow" w:hAnsi="Arial Narrow" w:cs="Arial Narrow"/>
          <w:sz w:val="22"/>
          <w:szCs w:val="22"/>
        </w:rPr>
      </w:pPr>
      <w:r>
        <w:rPr>
          <w:rFonts w:ascii="Arial Narrow" w:eastAsia="Arial Narrow" w:hAnsi="Arial Narrow" w:cs="Arial Narrow"/>
          <w:sz w:val="22"/>
          <w:szCs w:val="22"/>
        </w:rPr>
        <w:t>Plan de gestión del riesgo: se deberá diseñar, implementar y actualizar periódicamente el plan de gestión del riesgo por fatiga y cansancio. Este plan deberá incluir mecanismos de identificación, evaluación, mitigación y seguimiento de factores que incrementan el riesgo de fatiga y cansancio en los conductores.</w:t>
      </w:r>
    </w:p>
    <w:p w:rsidR="00D15A20" w:rsidRDefault="00D15A20">
      <w:pPr>
        <w:ind w:left="720"/>
        <w:jc w:val="both"/>
        <w:rPr>
          <w:rFonts w:ascii="Arial Narrow" w:eastAsia="Arial Narrow" w:hAnsi="Arial Narrow" w:cs="Arial Narrow"/>
          <w:sz w:val="22"/>
          <w:szCs w:val="22"/>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b/>
          <w:sz w:val="22"/>
          <w:szCs w:val="22"/>
        </w:rPr>
        <w:t>Artículo 4. Caracterización de la siniestralidad vial asociada a las rutas que operan desde y hacia terminales de transporte terrestre automotor de pasajeros por carretera en Bogotá: sedes Salitre, Satélite Norte y Satélite Sur y las que se constituyan.</w:t>
      </w:r>
      <w:r>
        <w:rPr>
          <w:rFonts w:ascii="Arial Narrow" w:eastAsia="Arial Narrow" w:hAnsi="Arial Narrow" w:cs="Arial Narrow"/>
          <w:color w:val="FF0000"/>
          <w:sz w:val="22"/>
          <w:szCs w:val="22"/>
        </w:rPr>
        <w:t xml:space="preserve"> </w:t>
      </w:r>
      <w:r>
        <w:rPr>
          <w:rFonts w:ascii="Arial Narrow" w:eastAsia="Arial Narrow" w:hAnsi="Arial Narrow" w:cs="Arial Narrow"/>
          <w:sz w:val="22"/>
          <w:szCs w:val="22"/>
        </w:rPr>
        <w:t>La Secretaría Distrital de Movilidad, en coordinación con el Observatorio de Movilidad y la Terminal de Transporte S.A, deberán elaborar anualmente un informe técnico que caracterice la siniestralidad vial vinculada asociada a las rutas que operan desde y hacia terminales de transporte terrestre automotor de pasajeros por carretera en Bogotá: sedes Salitre, Satélite Norte y Satélite Sur y las que se constituyan</w:t>
      </w:r>
      <w:r>
        <w:rPr>
          <w:rFonts w:ascii="Arial Narrow" w:eastAsia="Arial Narrow" w:hAnsi="Arial Narrow" w:cs="Arial Narrow"/>
          <w:b/>
          <w:sz w:val="22"/>
          <w:szCs w:val="22"/>
        </w:rPr>
        <w:t xml:space="preserve">, </w:t>
      </w:r>
      <w:r>
        <w:rPr>
          <w:rFonts w:ascii="Arial Narrow" w:eastAsia="Arial Narrow" w:hAnsi="Arial Narrow" w:cs="Arial Narrow"/>
          <w:sz w:val="22"/>
          <w:szCs w:val="22"/>
        </w:rPr>
        <w:t>haciendo énfasis en los factores de riesgo asociados a la fatiga y el cansancio de los conductores, los tiempos acumulados de conducción, las rutas con mayor exposición al riesgo y las posibles fallas en los mecanismos de control y rotación de personal.</w:t>
      </w:r>
    </w:p>
    <w:p w:rsidR="00D15A20" w:rsidRDefault="00D15A20">
      <w:pPr>
        <w:jc w:val="both"/>
        <w:rPr>
          <w:rFonts w:ascii="Arial Narrow" w:eastAsia="Arial Narrow" w:hAnsi="Arial Narrow" w:cs="Arial Narrow"/>
          <w:b/>
          <w:sz w:val="22"/>
          <w:szCs w:val="22"/>
        </w:rPr>
      </w:pPr>
    </w:p>
    <w:p w:rsidR="00D15A20" w:rsidRDefault="00D15A20">
      <w:pPr>
        <w:jc w:val="both"/>
        <w:rPr>
          <w:rFonts w:ascii="Arial Narrow" w:eastAsia="Arial Narrow" w:hAnsi="Arial Narrow" w:cs="Arial Narrow"/>
          <w:b/>
          <w:sz w:val="22"/>
          <w:szCs w:val="22"/>
        </w:rPr>
      </w:pPr>
    </w:p>
    <w:p w:rsidR="00D15A20" w:rsidRDefault="00BD1E10">
      <w:pPr>
        <w:jc w:val="both"/>
        <w:rPr>
          <w:rFonts w:ascii="Arial Narrow" w:eastAsia="Arial Narrow" w:hAnsi="Arial Narrow" w:cs="Arial Narrow"/>
          <w:sz w:val="22"/>
          <w:szCs w:val="22"/>
        </w:rPr>
      </w:pPr>
      <w:r>
        <w:rPr>
          <w:rFonts w:ascii="Arial Narrow" w:eastAsia="Arial Narrow" w:hAnsi="Arial Narrow" w:cs="Arial Narrow"/>
          <w:b/>
          <w:sz w:val="22"/>
          <w:szCs w:val="22"/>
        </w:rPr>
        <w:t xml:space="preserve">Artículo 5. Vigencia. </w:t>
      </w:r>
      <w:r>
        <w:rPr>
          <w:rFonts w:ascii="Arial Narrow" w:eastAsia="Arial Narrow" w:hAnsi="Arial Narrow" w:cs="Arial Narrow"/>
          <w:sz w:val="22"/>
          <w:szCs w:val="22"/>
        </w:rPr>
        <w:t>El presente acuerdo rige a partir de la fecha de su publicación.</w:t>
      </w:r>
    </w:p>
    <w:p w:rsidR="00D15A20" w:rsidRDefault="00D15A20">
      <w:pPr>
        <w:jc w:val="both"/>
        <w:rPr>
          <w:rFonts w:ascii="Arial Narrow" w:eastAsia="Arial Narrow" w:hAnsi="Arial Narrow" w:cs="Arial Narrow"/>
          <w:sz w:val="22"/>
          <w:szCs w:val="22"/>
        </w:rPr>
      </w:pPr>
    </w:p>
    <w:p w:rsidR="00D15A20" w:rsidRDefault="00D15A20">
      <w:pPr>
        <w:jc w:val="both"/>
        <w:rPr>
          <w:rFonts w:ascii="Arial Narrow" w:eastAsia="Arial Narrow" w:hAnsi="Arial Narrow" w:cs="Arial Narrow"/>
          <w:sz w:val="22"/>
          <w:szCs w:val="22"/>
        </w:rPr>
      </w:pPr>
    </w:p>
    <w:p w:rsidR="00D15A20" w:rsidRDefault="00BD1E10">
      <w:pPr>
        <w:jc w:val="center"/>
        <w:rPr>
          <w:rFonts w:ascii="Arial Narrow" w:eastAsia="Arial Narrow" w:hAnsi="Arial Narrow" w:cs="Arial Narrow"/>
          <w:b/>
          <w:sz w:val="22"/>
          <w:szCs w:val="22"/>
        </w:rPr>
      </w:pPr>
      <w:r>
        <w:rPr>
          <w:rFonts w:ascii="Arial Narrow" w:eastAsia="Arial Narrow" w:hAnsi="Arial Narrow" w:cs="Arial Narrow"/>
          <w:b/>
          <w:sz w:val="22"/>
          <w:szCs w:val="22"/>
        </w:rPr>
        <w:t>PUBLÍQUESE Y CÚMPLASE</w:t>
      </w:r>
    </w:p>
    <w:p w:rsidR="00D15A20" w:rsidRDefault="00D15A20">
      <w:pPr>
        <w:jc w:val="both"/>
        <w:rPr>
          <w:rFonts w:ascii="Arial Narrow" w:eastAsia="Arial Narrow" w:hAnsi="Arial Narrow" w:cs="Arial Narrow"/>
          <w:b/>
          <w:sz w:val="22"/>
          <w:szCs w:val="22"/>
        </w:rPr>
      </w:pPr>
    </w:p>
    <w:p w:rsidR="00D15A20" w:rsidRDefault="00D15A20">
      <w:pPr>
        <w:jc w:val="both"/>
        <w:rPr>
          <w:rFonts w:ascii="Arial Narrow" w:eastAsia="Arial Narrow" w:hAnsi="Arial Narrow" w:cs="Arial Narrow"/>
          <w:sz w:val="22"/>
          <w:szCs w:val="22"/>
        </w:rPr>
      </w:pPr>
    </w:p>
    <w:p w:rsidR="00D15A20" w:rsidRDefault="00D15A20">
      <w:pPr>
        <w:jc w:val="both"/>
        <w:rPr>
          <w:rFonts w:ascii="Arial Narrow" w:eastAsia="Arial Narrow" w:hAnsi="Arial Narrow" w:cs="Arial Narrow"/>
          <w:b/>
          <w:sz w:val="22"/>
          <w:szCs w:val="22"/>
        </w:rPr>
      </w:pPr>
    </w:p>
    <w:p w:rsidR="00D15A20" w:rsidRDefault="00D15A20">
      <w:pPr>
        <w:pBdr>
          <w:top w:val="nil"/>
          <w:left w:val="nil"/>
          <w:bottom w:val="nil"/>
          <w:right w:val="nil"/>
          <w:between w:val="nil"/>
        </w:pBdr>
        <w:ind w:left="720"/>
        <w:jc w:val="center"/>
        <w:rPr>
          <w:rFonts w:ascii="Arial Narrow" w:eastAsia="Arial Narrow" w:hAnsi="Arial Narrow" w:cs="Arial Narrow"/>
          <w:b/>
          <w:color w:val="000000"/>
          <w:sz w:val="22"/>
          <w:szCs w:val="22"/>
          <w:highlight w:val="yellow"/>
        </w:rPr>
      </w:pPr>
    </w:p>
    <w:p w:rsidR="00D15A20" w:rsidRDefault="00D15A20">
      <w:pPr>
        <w:widowControl w:val="0"/>
        <w:ind w:left="1080"/>
        <w:jc w:val="both"/>
        <w:rPr>
          <w:rFonts w:ascii="Arial Narrow" w:eastAsia="Arial Narrow" w:hAnsi="Arial Narrow" w:cs="Arial Narrow"/>
          <w:b/>
          <w:sz w:val="22"/>
          <w:szCs w:val="22"/>
        </w:rPr>
      </w:pPr>
    </w:p>
    <w:sectPr w:rsidR="00D15A20">
      <w:headerReference w:type="default" r:id="rId9"/>
      <w:footerReference w:type="even" r:id="rId10"/>
      <w:footerReference w:type="default" r:id="rId11"/>
      <w:pgSz w:w="12242" w:h="15842"/>
      <w:pgMar w:top="1701" w:right="1701" w:bottom="1701" w:left="1700" w:header="709"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854" w:rsidRDefault="00BD1E10">
      <w:r>
        <w:separator/>
      </w:r>
    </w:p>
  </w:endnote>
  <w:endnote w:type="continuationSeparator" w:id="0">
    <w:p w:rsidR="00C46854" w:rsidRDefault="00BD1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A20" w:rsidRDefault="00BD1E10">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rsidR="00D15A20" w:rsidRDefault="00D15A20">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A20" w:rsidRDefault="00D15A20">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8"/>
        <w:szCs w:val="18"/>
      </w:rPr>
    </w:pPr>
  </w:p>
  <w:p w:rsidR="00D15A20" w:rsidRDefault="00D15A20">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8"/>
        <w:szCs w:val="18"/>
      </w:rPr>
    </w:pPr>
  </w:p>
  <w:p w:rsidR="00D15A20" w:rsidRDefault="00D15A20">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jc w:val="center"/>
      <w:rPr>
        <w:color w:val="000000"/>
        <w:sz w:val="16"/>
        <w:szCs w:val="16"/>
      </w:rPr>
    </w:pPr>
  </w:p>
  <w:p w:rsidR="00D15A20" w:rsidRDefault="00D15A20">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6"/>
        <w:szCs w:val="16"/>
      </w:rPr>
    </w:pPr>
  </w:p>
  <w:p w:rsidR="00D15A20" w:rsidRDefault="00D15A20">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rPr>
        <w:color w:val="000000"/>
        <w:sz w:val="16"/>
        <w:szCs w:val="16"/>
      </w:rPr>
    </w:pPr>
  </w:p>
  <w:p w:rsidR="00D15A20" w:rsidRDefault="00D15A20">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854" w:rsidRDefault="00BD1E10">
      <w:r>
        <w:separator/>
      </w:r>
    </w:p>
  </w:footnote>
  <w:footnote w:type="continuationSeparator" w:id="0">
    <w:p w:rsidR="00C46854" w:rsidRDefault="00BD1E10">
      <w:r>
        <w:continuationSeparator/>
      </w:r>
    </w:p>
  </w:footnote>
  <w:footnote w:id="1">
    <w:p w:rsidR="00D15A20" w:rsidRDefault="00BD1E10">
      <w:pPr>
        <w:jc w:val="both"/>
        <w:rPr>
          <w:sz w:val="18"/>
          <w:szCs w:val="18"/>
        </w:rPr>
      </w:pPr>
      <w:r>
        <w:rPr>
          <w:vertAlign w:val="superscript"/>
        </w:rPr>
        <w:footnoteRef/>
      </w:r>
      <w:r>
        <w:rPr>
          <w:sz w:val="20"/>
          <w:szCs w:val="20"/>
        </w:rPr>
        <w:t xml:space="preserve"> </w:t>
      </w:r>
      <w:r>
        <w:rPr>
          <w:sz w:val="18"/>
          <w:szCs w:val="18"/>
        </w:rPr>
        <w:t>Departamento Administrativo de Función Pública. (24 de marzo de 2023)</w:t>
      </w:r>
      <w:r>
        <w:rPr>
          <w:i/>
          <w:sz w:val="18"/>
          <w:szCs w:val="18"/>
        </w:rPr>
        <w:t xml:space="preserve">Concepto 121121 de 2023. </w:t>
      </w:r>
      <w:r>
        <w:rPr>
          <w:sz w:val="18"/>
          <w:szCs w:val="18"/>
        </w:rPr>
        <w:t xml:space="preserve">Recuperado de: </w:t>
      </w:r>
      <w:hyperlink r:id="rId1">
        <w:r>
          <w:rPr>
            <w:sz w:val="18"/>
            <w:szCs w:val="18"/>
          </w:rPr>
          <w:t>https://www.funcionpublica.gov.co/eva/gestornormativo/norma.php?i=214536</w:t>
        </w:r>
      </w:hyperlink>
      <w:r>
        <w:rPr>
          <w:sz w:val="18"/>
          <w:szCs w:val="18"/>
        </w:rPr>
        <w:t xml:space="preserve">    </w:t>
      </w:r>
    </w:p>
  </w:footnote>
  <w:footnote w:id="2">
    <w:p w:rsidR="00D15A20" w:rsidRDefault="00BD1E10">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color w:val="0000FF"/>
          <w:sz w:val="14"/>
          <w:szCs w:val="14"/>
          <w:u w:val="single"/>
        </w:rPr>
        <w:t>https://content.tfl.gov.uk/bus-driver-fatigue-report.pdf?utm_source=chatgpt.com</w:t>
      </w:r>
    </w:p>
  </w:footnote>
  <w:footnote w:id="3">
    <w:p w:rsidR="00D15A20" w:rsidRDefault="00BD1E10">
      <w:pPr>
        <w:pBdr>
          <w:top w:val="nil"/>
          <w:left w:val="nil"/>
          <w:bottom w:val="nil"/>
          <w:right w:val="nil"/>
          <w:between w:val="nil"/>
        </w:pBdr>
        <w:rPr>
          <w:color w:val="000000"/>
          <w:sz w:val="20"/>
          <w:szCs w:val="20"/>
        </w:rPr>
      </w:pPr>
      <w:r>
        <w:rPr>
          <w:vertAlign w:val="superscript"/>
        </w:rPr>
        <w:footnoteRef/>
      </w:r>
      <w:r>
        <w:rPr>
          <w:color w:val="000000"/>
          <w:sz w:val="16"/>
          <w:szCs w:val="16"/>
        </w:rPr>
        <w:t xml:space="preserve"> Organisation for Economic Co-operation and Development (OECD) &amp; European Conference of Ministers of Transport (ECMT). (2006). </w:t>
      </w:r>
      <w:r>
        <w:rPr>
          <w:i/>
          <w:color w:val="000000"/>
          <w:sz w:val="16"/>
          <w:szCs w:val="16"/>
        </w:rPr>
        <w:t>Young drivers: The road to safety</w:t>
      </w:r>
      <w:r>
        <w:rPr>
          <w:color w:val="000000"/>
          <w:sz w:val="16"/>
          <w:szCs w:val="16"/>
        </w:rPr>
        <w:t xml:space="preserve">. OECD Publishing. </w:t>
      </w:r>
      <w:hyperlink r:id="rId2">
        <w:r>
          <w:rPr>
            <w:color w:val="0000FF"/>
            <w:sz w:val="16"/>
            <w:szCs w:val="16"/>
            <w:u w:val="single"/>
          </w:rPr>
          <w:t>https://doi.org/10.1787/9789282113356-en</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5A20" w:rsidRDefault="00D15A20">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rPr>
        <w:rFonts w:ascii="Bookman Old Style" w:eastAsia="Bookman Old Style" w:hAnsi="Bookman Old Style" w:cs="Bookman Old Style"/>
        <w:sz w:val="20"/>
        <w:szCs w:val="20"/>
      </w:rPr>
    </w:pPr>
  </w:p>
  <w:tbl>
    <w:tblPr>
      <w:tblStyle w:val="a8"/>
      <w:tblW w:w="909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55"/>
      <w:gridCol w:w="4230"/>
      <w:gridCol w:w="2505"/>
    </w:tblGrid>
    <w:tr w:rsidR="00D15A20">
      <w:trPr>
        <w:trHeight w:val="316"/>
      </w:trPr>
      <w:tc>
        <w:tcPr>
          <w:tcW w:w="2355" w:type="dxa"/>
          <w:vMerge w:val="restart"/>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rsidR="00D15A20" w:rsidRDefault="00BD1E10">
          <w:pPr>
            <w:jc w:val="center"/>
            <w:rPr>
              <w:sz w:val="16"/>
              <w:szCs w:val="16"/>
            </w:rPr>
          </w:pPr>
          <w:r>
            <w:rPr>
              <w:noProof/>
              <w:sz w:val="16"/>
              <w:szCs w:val="16"/>
              <w:lang w:val="es-419" w:eastAsia="es-419"/>
            </w:rPr>
            <w:drawing>
              <wp:inline distT="0" distB="0" distL="0" distR="0">
                <wp:extent cx="598921" cy="572881"/>
                <wp:effectExtent l="0" t="0" r="0" b="0"/>
                <wp:docPr id="9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8921" cy="572881"/>
                        </a:xfrm>
                        <a:prstGeom prst="rect">
                          <a:avLst/>
                        </a:prstGeom>
                        <a:ln/>
                      </pic:spPr>
                    </pic:pic>
                  </a:graphicData>
                </a:graphic>
              </wp:inline>
            </w:drawing>
          </w:r>
        </w:p>
      </w:tc>
      <w:tc>
        <w:tcPr>
          <w:tcW w:w="4230"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rsidR="00D15A20" w:rsidRDefault="00BD1E10">
          <w:pPr>
            <w:jc w:val="center"/>
            <w:rPr>
              <w:sz w:val="18"/>
              <w:szCs w:val="18"/>
            </w:rPr>
          </w:pPr>
          <w:r>
            <w:rPr>
              <w:sz w:val="18"/>
              <w:szCs w:val="18"/>
            </w:rPr>
            <w:t>PROCESO GESTIÓN NORMATIVA</w:t>
          </w:r>
        </w:p>
      </w:tc>
      <w:tc>
        <w:tcPr>
          <w:tcW w:w="2505"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rsidR="00D15A20" w:rsidRDefault="00BD1E10">
          <w:pPr>
            <w:rPr>
              <w:sz w:val="16"/>
              <w:szCs w:val="16"/>
            </w:rPr>
          </w:pPr>
          <w:r>
            <w:rPr>
              <w:sz w:val="16"/>
              <w:szCs w:val="16"/>
            </w:rPr>
            <w:t>CÓDIGO</w:t>
          </w:r>
          <w:r>
            <w:rPr>
              <w:color w:val="3366FF"/>
              <w:sz w:val="16"/>
              <w:szCs w:val="16"/>
            </w:rPr>
            <w:t xml:space="preserve">: </w:t>
          </w:r>
          <w:r>
            <w:rPr>
              <w:sz w:val="16"/>
              <w:szCs w:val="16"/>
            </w:rPr>
            <w:t>GNV-FO-002</w:t>
          </w:r>
        </w:p>
      </w:tc>
    </w:tr>
    <w:tr w:rsidR="00D15A20">
      <w:trPr>
        <w:trHeight w:val="225"/>
      </w:trPr>
      <w:tc>
        <w:tcPr>
          <w:tcW w:w="2355" w:type="dxa"/>
          <w:vMerge/>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rsidR="00D15A20" w:rsidRDefault="00D15A20">
          <w:pPr>
            <w:widowControl w:val="0"/>
            <w:pBdr>
              <w:top w:val="nil"/>
              <w:left w:val="nil"/>
              <w:bottom w:val="nil"/>
              <w:right w:val="nil"/>
              <w:between w:val="nil"/>
            </w:pBdr>
            <w:spacing w:line="276" w:lineRule="auto"/>
            <w:rPr>
              <w:sz w:val="16"/>
              <w:szCs w:val="16"/>
            </w:rPr>
          </w:pPr>
        </w:p>
      </w:tc>
      <w:tc>
        <w:tcPr>
          <w:tcW w:w="4230" w:type="dxa"/>
          <w:vMerge w:val="restart"/>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rsidR="00D15A20" w:rsidRDefault="00BD1E10">
          <w:pPr>
            <w:jc w:val="center"/>
            <w:rPr>
              <w:sz w:val="20"/>
              <w:szCs w:val="20"/>
            </w:rPr>
          </w:pPr>
          <w:r>
            <w:rPr>
              <w:sz w:val="20"/>
              <w:szCs w:val="20"/>
            </w:rPr>
            <w:t>PRESENTACIÓN PONENCIAS</w:t>
          </w:r>
        </w:p>
      </w:tc>
      <w:tc>
        <w:tcPr>
          <w:tcW w:w="2505"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rsidR="00D15A20" w:rsidRDefault="00BD1E10">
          <w:pPr>
            <w:rPr>
              <w:sz w:val="16"/>
              <w:szCs w:val="16"/>
            </w:rPr>
          </w:pPr>
          <w:r>
            <w:rPr>
              <w:sz w:val="16"/>
              <w:szCs w:val="16"/>
            </w:rPr>
            <w:t>VERSIÓN:    01</w:t>
          </w:r>
        </w:p>
      </w:tc>
    </w:tr>
    <w:tr w:rsidR="00D15A20">
      <w:trPr>
        <w:trHeight w:val="61"/>
      </w:trPr>
      <w:tc>
        <w:tcPr>
          <w:tcW w:w="2355" w:type="dxa"/>
          <w:vMerge/>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rsidR="00D15A20" w:rsidRDefault="00D15A20">
          <w:pPr>
            <w:widowControl w:val="0"/>
            <w:pBdr>
              <w:top w:val="nil"/>
              <w:left w:val="nil"/>
              <w:bottom w:val="nil"/>
              <w:right w:val="nil"/>
              <w:between w:val="nil"/>
            </w:pBdr>
            <w:spacing w:line="276" w:lineRule="auto"/>
            <w:rPr>
              <w:sz w:val="16"/>
              <w:szCs w:val="16"/>
            </w:rPr>
          </w:pPr>
        </w:p>
      </w:tc>
      <w:tc>
        <w:tcPr>
          <w:tcW w:w="4230" w:type="dxa"/>
          <w:vMerge/>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rsidR="00D15A20" w:rsidRDefault="00D15A20">
          <w:pPr>
            <w:widowControl w:val="0"/>
            <w:pBdr>
              <w:top w:val="nil"/>
              <w:left w:val="nil"/>
              <w:bottom w:val="nil"/>
              <w:right w:val="nil"/>
              <w:between w:val="nil"/>
            </w:pBdr>
            <w:spacing w:line="276" w:lineRule="auto"/>
            <w:rPr>
              <w:sz w:val="16"/>
              <w:szCs w:val="16"/>
            </w:rPr>
          </w:pPr>
        </w:p>
      </w:tc>
      <w:tc>
        <w:tcPr>
          <w:tcW w:w="2505" w:type="dxa"/>
          <w:tcBorders>
            <w:top w:val="single" w:sz="4" w:space="0" w:color="000000"/>
            <w:left w:val="single" w:sz="4" w:space="0" w:color="000000"/>
            <w:bottom w:val="single" w:sz="4" w:space="0" w:color="000000"/>
            <w:right w:val="single" w:sz="4" w:space="0" w:color="000000"/>
          </w:tcBorders>
          <w:tcMar>
            <w:top w:w="100" w:type="dxa"/>
            <w:left w:w="70" w:type="dxa"/>
            <w:bottom w:w="100" w:type="dxa"/>
            <w:right w:w="70" w:type="dxa"/>
          </w:tcMar>
          <w:vAlign w:val="center"/>
        </w:tcPr>
        <w:p w:rsidR="00D15A20" w:rsidRDefault="00BD1E10">
          <w:pPr>
            <w:rPr>
              <w:sz w:val="16"/>
              <w:szCs w:val="16"/>
            </w:rPr>
          </w:pPr>
          <w:r>
            <w:rPr>
              <w:sz w:val="16"/>
              <w:szCs w:val="16"/>
            </w:rPr>
            <w:t>FECHA: 14-Nov-2019</w:t>
          </w:r>
        </w:p>
      </w:tc>
    </w:tr>
  </w:tbl>
  <w:p w:rsidR="00D15A20" w:rsidRDefault="00D15A20">
    <w:pPr>
      <w:pBdr>
        <w:top w:val="none" w:sz="0" w:space="13" w:color="000000"/>
        <w:left w:val="none" w:sz="0" w:space="0" w:color="000000"/>
        <w:bottom w:val="none" w:sz="0" w:space="0" w:color="000000"/>
        <w:right w:val="none" w:sz="0" w:space="0" w:color="000000"/>
        <w:between w:val="none" w:sz="0" w:space="0" w:color="000000"/>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A01"/>
    <w:multiLevelType w:val="multilevel"/>
    <w:tmpl w:val="034831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0E7422D5"/>
    <w:multiLevelType w:val="multilevel"/>
    <w:tmpl w:val="0BB445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10A12024"/>
    <w:multiLevelType w:val="multilevel"/>
    <w:tmpl w:val="719E584E"/>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16E63329"/>
    <w:multiLevelType w:val="multilevel"/>
    <w:tmpl w:val="F6140F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23884250"/>
    <w:multiLevelType w:val="multilevel"/>
    <w:tmpl w:val="67A0DF3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9F26C06"/>
    <w:multiLevelType w:val="multilevel"/>
    <w:tmpl w:val="EDA8F172"/>
    <w:lvl w:ilvl="0">
      <w:start w:val="1"/>
      <w:numFmt w:val="bullet"/>
      <w:lvlText w:val="●"/>
      <w:lvlJc w:val="left"/>
      <w:pPr>
        <w:ind w:left="1080" w:hanging="360"/>
      </w:pPr>
      <w:rPr>
        <w:rFonts w:ascii="Noto Sans Symbols" w:eastAsia="Noto Sans Symbols" w:hAnsi="Noto Sans Symbols" w:cs="Noto Sans Symbols"/>
        <w:sz w:val="20"/>
        <w:szCs w:val="20"/>
      </w:rPr>
    </w:lvl>
    <w:lvl w:ilvl="1">
      <w:start w:val="1"/>
      <w:numFmt w:val="bullet"/>
      <w:lvlText w:val="o"/>
      <w:lvlJc w:val="left"/>
      <w:pPr>
        <w:ind w:left="1800" w:hanging="360"/>
      </w:pPr>
      <w:rPr>
        <w:rFonts w:ascii="Courier New" w:eastAsia="Courier New" w:hAnsi="Courier New" w:cs="Courier New"/>
        <w:sz w:val="20"/>
        <w:szCs w:val="20"/>
      </w:rPr>
    </w:lvl>
    <w:lvl w:ilvl="2">
      <w:start w:val="1"/>
      <w:numFmt w:val="bullet"/>
      <w:lvlText w:val="▪"/>
      <w:lvlJc w:val="left"/>
      <w:pPr>
        <w:ind w:left="2520" w:hanging="360"/>
      </w:pPr>
      <w:rPr>
        <w:rFonts w:ascii="Noto Sans Symbols" w:eastAsia="Noto Sans Symbols" w:hAnsi="Noto Sans Symbols" w:cs="Noto Sans Symbols"/>
        <w:sz w:val="20"/>
        <w:szCs w:val="20"/>
      </w:rPr>
    </w:lvl>
    <w:lvl w:ilvl="3">
      <w:start w:val="1"/>
      <w:numFmt w:val="bullet"/>
      <w:lvlText w:val="▪"/>
      <w:lvlJc w:val="left"/>
      <w:pPr>
        <w:ind w:left="3240" w:hanging="360"/>
      </w:pPr>
      <w:rPr>
        <w:rFonts w:ascii="Noto Sans Symbols" w:eastAsia="Noto Sans Symbols" w:hAnsi="Noto Sans Symbols" w:cs="Noto Sans Symbols"/>
        <w:sz w:val="20"/>
        <w:szCs w:val="20"/>
      </w:rPr>
    </w:lvl>
    <w:lvl w:ilvl="4">
      <w:start w:val="1"/>
      <w:numFmt w:val="bullet"/>
      <w:lvlText w:val="▪"/>
      <w:lvlJc w:val="left"/>
      <w:pPr>
        <w:ind w:left="3960" w:hanging="360"/>
      </w:pPr>
      <w:rPr>
        <w:rFonts w:ascii="Noto Sans Symbols" w:eastAsia="Noto Sans Symbols" w:hAnsi="Noto Sans Symbols" w:cs="Noto Sans Symbols"/>
        <w:sz w:val="20"/>
        <w:szCs w:val="20"/>
      </w:rPr>
    </w:lvl>
    <w:lvl w:ilvl="5">
      <w:start w:val="1"/>
      <w:numFmt w:val="bullet"/>
      <w:lvlText w:val="▪"/>
      <w:lvlJc w:val="left"/>
      <w:pPr>
        <w:ind w:left="4680" w:hanging="360"/>
      </w:pPr>
      <w:rPr>
        <w:rFonts w:ascii="Noto Sans Symbols" w:eastAsia="Noto Sans Symbols" w:hAnsi="Noto Sans Symbols" w:cs="Noto Sans Symbols"/>
        <w:sz w:val="20"/>
        <w:szCs w:val="20"/>
      </w:rPr>
    </w:lvl>
    <w:lvl w:ilvl="6">
      <w:start w:val="1"/>
      <w:numFmt w:val="bullet"/>
      <w:lvlText w:val="▪"/>
      <w:lvlJc w:val="left"/>
      <w:pPr>
        <w:ind w:left="5400" w:hanging="360"/>
      </w:pPr>
      <w:rPr>
        <w:rFonts w:ascii="Noto Sans Symbols" w:eastAsia="Noto Sans Symbols" w:hAnsi="Noto Sans Symbols" w:cs="Noto Sans Symbols"/>
        <w:sz w:val="20"/>
        <w:szCs w:val="20"/>
      </w:rPr>
    </w:lvl>
    <w:lvl w:ilvl="7">
      <w:start w:val="1"/>
      <w:numFmt w:val="bullet"/>
      <w:lvlText w:val="▪"/>
      <w:lvlJc w:val="left"/>
      <w:pPr>
        <w:ind w:left="6120" w:hanging="360"/>
      </w:pPr>
      <w:rPr>
        <w:rFonts w:ascii="Noto Sans Symbols" w:eastAsia="Noto Sans Symbols" w:hAnsi="Noto Sans Symbols" w:cs="Noto Sans Symbols"/>
        <w:sz w:val="20"/>
        <w:szCs w:val="20"/>
      </w:rPr>
    </w:lvl>
    <w:lvl w:ilvl="8">
      <w:start w:val="1"/>
      <w:numFmt w:val="bullet"/>
      <w:lvlText w:val="▪"/>
      <w:lvlJc w:val="left"/>
      <w:pPr>
        <w:ind w:left="6840" w:hanging="360"/>
      </w:pPr>
      <w:rPr>
        <w:rFonts w:ascii="Noto Sans Symbols" w:eastAsia="Noto Sans Symbols" w:hAnsi="Noto Sans Symbols" w:cs="Noto Sans Symbols"/>
        <w:sz w:val="20"/>
        <w:szCs w:val="20"/>
      </w:rPr>
    </w:lvl>
  </w:abstractNum>
  <w:abstractNum w:abstractNumId="6" w15:restartNumberingAfterBreak="0">
    <w:nsid w:val="2DA37FFD"/>
    <w:multiLevelType w:val="multilevel"/>
    <w:tmpl w:val="A038058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pStyle w:val="SUBTITULO1-JENNY"/>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2F3E0A2C"/>
    <w:multiLevelType w:val="multilevel"/>
    <w:tmpl w:val="DD9AF09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301428F4"/>
    <w:multiLevelType w:val="multilevel"/>
    <w:tmpl w:val="AA46E8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15:restartNumberingAfterBreak="0">
    <w:nsid w:val="36064589"/>
    <w:multiLevelType w:val="multilevel"/>
    <w:tmpl w:val="B0122ED2"/>
    <w:lvl w:ilvl="0">
      <w:start w:val="1"/>
      <w:numFmt w:val="bullet"/>
      <w:pStyle w:val="Ttulo1"/>
      <w:lvlText w:val="●"/>
      <w:lvlJc w:val="left"/>
      <w:pPr>
        <w:ind w:left="1440" w:hanging="360"/>
      </w:pPr>
      <w:rPr>
        <w:rFonts w:ascii="Noto Sans Symbols" w:eastAsia="Noto Sans Symbols" w:hAnsi="Noto Sans Symbols" w:cs="Noto Sans Symbols"/>
      </w:rPr>
    </w:lvl>
    <w:lvl w:ilvl="1">
      <w:start w:val="1"/>
      <w:numFmt w:val="bullet"/>
      <w:pStyle w:val="Ttulo2"/>
      <w:lvlText w:val="o"/>
      <w:lvlJc w:val="left"/>
      <w:pPr>
        <w:ind w:left="2160" w:hanging="360"/>
      </w:pPr>
      <w:rPr>
        <w:rFonts w:ascii="Courier New" w:eastAsia="Courier New" w:hAnsi="Courier New" w:cs="Courier New"/>
      </w:rPr>
    </w:lvl>
    <w:lvl w:ilvl="2">
      <w:start w:val="1"/>
      <w:numFmt w:val="bullet"/>
      <w:pStyle w:val="Ttulo3"/>
      <w:lvlText w:val="▪"/>
      <w:lvlJc w:val="left"/>
      <w:pPr>
        <w:ind w:left="2880" w:hanging="360"/>
      </w:pPr>
      <w:rPr>
        <w:rFonts w:ascii="Noto Sans Symbols" w:eastAsia="Noto Sans Symbols" w:hAnsi="Noto Sans Symbols" w:cs="Noto Sans Symbols"/>
      </w:rPr>
    </w:lvl>
    <w:lvl w:ilvl="3">
      <w:start w:val="1"/>
      <w:numFmt w:val="bullet"/>
      <w:pStyle w:val="Ttulo4"/>
      <w:lvlText w:val="●"/>
      <w:lvlJc w:val="left"/>
      <w:pPr>
        <w:ind w:left="3600" w:hanging="360"/>
      </w:pPr>
      <w:rPr>
        <w:rFonts w:ascii="Noto Sans Symbols" w:eastAsia="Noto Sans Symbols" w:hAnsi="Noto Sans Symbols" w:cs="Noto Sans Symbols"/>
      </w:rPr>
    </w:lvl>
    <w:lvl w:ilvl="4">
      <w:start w:val="1"/>
      <w:numFmt w:val="bullet"/>
      <w:pStyle w:val="Ttulo5"/>
      <w:lvlText w:val="o"/>
      <w:lvlJc w:val="left"/>
      <w:pPr>
        <w:ind w:left="4320" w:hanging="360"/>
      </w:pPr>
      <w:rPr>
        <w:rFonts w:ascii="Courier New" w:eastAsia="Courier New" w:hAnsi="Courier New" w:cs="Courier New"/>
      </w:rPr>
    </w:lvl>
    <w:lvl w:ilvl="5">
      <w:start w:val="1"/>
      <w:numFmt w:val="bullet"/>
      <w:pStyle w:val="Ttulo6"/>
      <w:lvlText w:val="▪"/>
      <w:lvlJc w:val="left"/>
      <w:pPr>
        <w:ind w:left="5040" w:hanging="360"/>
      </w:pPr>
      <w:rPr>
        <w:rFonts w:ascii="Noto Sans Symbols" w:eastAsia="Noto Sans Symbols" w:hAnsi="Noto Sans Symbols" w:cs="Noto Sans Symbols"/>
      </w:rPr>
    </w:lvl>
    <w:lvl w:ilvl="6">
      <w:start w:val="1"/>
      <w:numFmt w:val="bullet"/>
      <w:pStyle w:val="Ttulo7"/>
      <w:lvlText w:val="●"/>
      <w:lvlJc w:val="left"/>
      <w:pPr>
        <w:ind w:left="5760" w:hanging="360"/>
      </w:pPr>
      <w:rPr>
        <w:rFonts w:ascii="Noto Sans Symbols" w:eastAsia="Noto Sans Symbols" w:hAnsi="Noto Sans Symbols" w:cs="Noto Sans Symbols"/>
      </w:rPr>
    </w:lvl>
    <w:lvl w:ilvl="7">
      <w:start w:val="1"/>
      <w:numFmt w:val="bullet"/>
      <w:pStyle w:val="Ttulo8"/>
      <w:lvlText w:val="o"/>
      <w:lvlJc w:val="left"/>
      <w:pPr>
        <w:ind w:left="6480" w:hanging="360"/>
      </w:pPr>
      <w:rPr>
        <w:rFonts w:ascii="Courier New" w:eastAsia="Courier New" w:hAnsi="Courier New" w:cs="Courier New"/>
      </w:rPr>
    </w:lvl>
    <w:lvl w:ilvl="8">
      <w:start w:val="1"/>
      <w:numFmt w:val="bullet"/>
      <w:pStyle w:val="Ttulo9"/>
      <w:lvlText w:val="▪"/>
      <w:lvlJc w:val="left"/>
      <w:pPr>
        <w:ind w:left="7200" w:hanging="360"/>
      </w:pPr>
      <w:rPr>
        <w:rFonts w:ascii="Noto Sans Symbols" w:eastAsia="Noto Sans Symbols" w:hAnsi="Noto Sans Symbols" w:cs="Noto Sans Symbols"/>
      </w:rPr>
    </w:lvl>
  </w:abstractNum>
  <w:abstractNum w:abstractNumId="10" w15:restartNumberingAfterBreak="0">
    <w:nsid w:val="4AB94D23"/>
    <w:multiLevelType w:val="multilevel"/>
    <w:tmpl w:val="131A45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15:restartNumberingAfterBreak="0">
    <w:nsid w:val="52AB1FED"/>
    <w:multiLevelType w:val="multilevel"/>
    <w:tmpl w:val="045CA00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59415C28"/>
    <w:multiLevelType w:val="multilevel"/>
    <w:tmpl w:val="68FE3AF0"/>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15:restartNumberingAfterBreak="0">
    <w:nsid w:val="602365DE"/>
    <w:multiLevelType w:val="multilevel"/>
    <w:tmpl w:val="9C40A8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98113B"/>
    <w:multiLevelType w:val="multilevel"/>
    <w:tmpl w:val="64B2A080"/>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15:restartNumberingAfterBreak="0">
    <w:nsid w:val="70AF2716"/>
    <w:multiLevelType w:val="multilevel"/>
    <w:tmpl w:val="632039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6"/>
  </w:num>
  <w:num w:numId="2">
    <w:abstractNumId w:val="5"/>
  </w:num>
  <w:num w:numId="3">
    <w:abstractNumId w:val="9"/>
  </w:num>
  <w:num w:numId="4">
    <w:abstractNumId w:val="11"/>
  </w:num>
  <w:num w:numId="5">
    <w:abstractNumId w:val="10"/>
  </w:num>
  <w:num w:numId="6">
    <w:abstractNumId w:val="15"/>
  </w:num>
  <w:num w:numId="7">
    <w:abstractNumId w:val="12"/>
  </w:num>
  <w:num w:numId="8">
    <w:abstractNumId w:val="7"/>
  </w:num>
  <w:num w:numId="9">
    <w:abstractNumId w:val="3"/>
  </w:num>
  <w:num w:numId="10">
    <w:abstractNumId w:val="8"/>
  </w:num>
  <w:num w:numId="11">
    <w:abstractNumId w:val="2"/>
  </w:num>
  <w:num w:numId="12">
    <w:abstractNumId w:val="1"/>
  </w:num>
  <w:num w:numId="13">
    <w:abstractNumId w:val="0"/>
  </w:num>
  <w:num w:numId="14">
    <w:abstractNumId w:val="14"/>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A20"/>
    <w:rsid w:val="00BD1E10"/>
    <w:rsid w:val="00C46854"/>
    <w:rsid w:val="00C546F4"/>
    <w:rsid w:val="00D15A20"/>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E65EDF-C657-49B9-9242-A068F7472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419"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343"/>
    <w:rPr>
      <w:lang w:eastAsia="es-MX"/>
    </w:rPr>
  </w:style>
  <w:style w:type="paragraph" w:styleId="Ttulo1">
    <w:name w:val="heading 1"/>
    <w:basedOn w:val="Normal"/>
    <w:next w:val="Normal"/>
    <w:uiPriority w:val="9"/>
    <w:qFormat/>
    <w:pPr>
      <w:keepNext/>
      <w:numPr>
        <w:numId w:val="3"/>
      </w:numPr>
      <w:jc w:val="center"/>
      <w:outlineLvl w:val="0"/>
    </w:pPr>
    <w:rPr>
      <w:rFonts w:ascii="Times New Roman" w:eastAsia="Times New Roman" w:hAnsi="Times New Roman" w:cs="Times New Roman"/>
      <w:color w:val="000000"/>
    </w:rPr>
  </w:style>
  <w:style w:type="paragraph" w:styleId="Ttulo2">
    <w:name w:val="heading 2"/>
    <w:basedOn w:val="Normal"/>
    <w:next w:val="Normal"/>
    <w:uiPriority w:val="9"/>
    <w:unhideWhenUsed/>
    <w:qFormat/>
    <w:pPr>
      <w:keepNext/>
      <w:numPr>
        <w:ilvl w:val="1"/>
        <w:numId w:val="3"/>
      </w:numPr>
      <w:outlineLvl w:val="1"/>
    </w:pPr>
    <w:rPr>
      <w:rFonts w:ascii="Times New Roman" w:eastAsia="Times New Roman" w:hAnsi="Times New Roman" w:cs="Times New Roman"/>
      <w:color w:val="000000"/>
    </w:rPr>
  </w:style>
  <w:style w:type="paragraph" w:styleId="Ttulo3">
    <w:name w:val="heading 3"/>
    <w:basedOn w:val="Normal"/>
    <w:next w:val="Normal"/>
    <w:uiPriority w:val="9"/>
    <w:semiHidden/>
    <w:unhideWhenUsed/>
    <w:qFormat/>
    <w:pPr>
      <w:keepNext/>
      <w:keepLines/>
      <w:numPr>
        <w:ilvl w:val="2"/>
        <w:numId w:val="3"/>
      </w:numPr>
      <w:spacing w:before="280" w:after="80"/>
      <w:outlineLvl w:val="2"/>
    </w:pPr>
    <w:rPr>
      <w:b/>
      <w:sz w:val="28"/>
      <w:szCs w:val="28"/>
    </w:rPr>
  </w:style>
  <w:style w:type="paragraph" w:styleId="Ttulo4">
    <w:name w:val="heading 4"/>
    <w:basedOn w:val="Normal"/>
    <w:next w:val="Normal"/>
    <w:uiPriority w:val="9"/>
    <w:semiHidden/>
    <w:unhideWhenUsed/>
    <w:qFormat/>
    <w:pPr>
      <w:keepNext/>
      <w:numPr>
        <w:ilvl w:val="3"/>
        <w:numId w:val="3"/>
      </w:numPr>
      <w:spacing w:before="240" w:after="60"/>
      <w:outlineLvl w:val="3"/>
    </w:pPr>
    <w:rPr>
      <w:rFonts w:ascii="Times New Roman" w:eastAsia="Times New Roman" w:hAnsi="Times New Roman" w:cs="Times New Roman"/>
      <w:b/>
      <w:color w:val="000000"/>
      <w:sz w:val="28"/>
      <w:szCs w:val="28"/>
    </w:rPr>
  </w:style>
  <w:style w:type="paragraph" w:styleId="Ttulo5">
    <w:name w:val="heading 5"/>
    <w:basedOn w:val="Normal"/>
    <w:next w:val="Normal"/>
    <w:uiPriority w:val="9"/>
    <w:semiHidden/>
    <w:unhideWhenUsed/>
    <w:qFormat/>
    <w:pPr>
      <w:keepNext/>
      <w:keepLines/>
      <w:numPr>
        <w:ilvl w:val="4"/>
        <w:numId w:val="3"/>
      </w:numPr>
      <w:spacing w:before="200"/>
      <w:outlineLvl w:val="4"/>
    </w:pPr>
    <w:rPr>
      <w:rFonts w:ascii="Cambria" w:eastAsia="Cambria" w:hAnsi="Cambria" w:cs="Cambria"/>
      <w:color w:val="243F60"/>
    </w:rPr>
  </w:style>
  <w:style w:type="paragraph" w:styleId="Ttulo6">
    <w:name w:val="heading 6"/>
    <w:basedOn w:val="Normal"/>
    <w:next w:val="Normal"/>
    <w:uiPriority w:val="9"/>
    <w:semiHidden/>
    <w:unhideWhenUsed/>
    <w:qFormat/>
    <w:pPr>
      <w:keepNext/>
      <w:keepLines/>
      <w:numPr>
        <w:ilvl w:val="5"/>
        <w:numId w:val="3"/>
      </w:numPr>
      <w:spacing w:before="200" w:after="40"/>
      <w:outlineLvl w:val="5"/>
    </w:pPr>
    <w:rPr>
      <w:b/>
      <w:sz w:val="20"/>
      <w:szCs w:val="20"/>
    </w:rPr>
  </w:style>
  <w:style w:type="paragraph" w:styleId="Ttulo7">
    <w:name w:val="heading 7"/>
    <w:basedOn w:val="Normal"/>
    <w:next w:val="Normal"/>
    <w:link w:val="Ttulo7Car"/>
    <w:uiPriority w:val="9"/>
    <w:semiHidden/>
    <w:unhideWhenUsed/>
    <w:qFormat/>
    <w:rsid w:val="00A8344E"/>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A8344E"/>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A8344E"/>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xtodeglobo">
    <w:name w:val="Balloon Text"/>
    <w:basedOn w:val="Normal"/>
    <w:link w:val="TextodegloboCar"/>
    <w:uiPriority w:val="99"/>
    <w:semiHidden/>
    <w:unhideWhenUsed/>
    <w:rPr>
      <w:rFonts w:ascii="Segoe UI" w:hAnsi="Segoe UI" w:cs="Segoe UI"/>
      <w:sz w:val="18"/>
      <w:szCs w:val="18"/>
    </w:r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rPr>
      <w:sz w:val="20"/>
      <w:szCs w:val="20"/>
    </w:rPr>
  </w:style>
  <w:style w:type="paragraph" w:styleId="Piedepgina">
    <w:name w:val="footer"/>
    <w:basedOn w:val="Normal"/>
    <w:link w:val="PiedepginaCar"/>
    <w:uiPriority w:val="99"/>
    <w:unhideWhenUsed/>
    <w:pPr>
      <w:tabs>
        <w:tab w:val="center" w:pos="4419"/>
        <w:tab w:val="right" w:pos="8838"/>
      </w:tabs>
    </w:pPr>
  </w:style>
  <w:style w:type="paragraph" w:styleId="Encabezado">
    <w:name w:val="header"/>
    <w:basedOn w:val="Normal"/>
    <w:link w:val="EncabezadoCar"/>
    <w:uiPriority w:val="99"/>
    <w:unhideWhenUsed/>
    <w:pPr>
      <w:tabs>
        <w:tab w:val="center" w:pos="4419"/>
        <w:tab w:val="right" w:pos="8838"/>
      </w:tabs>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TableNormal10">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tblPr>
      <w:tblCellMar>
        <w:top w:w="0" w:type="dxa"/>
        <w:left w:w="0" w:type="dxa"/>
        <w:bottom w:w="0" w:type="dxa"/>
        <w:right w:w="0" w:type="dxa"/>
      </w:tblCellMar>
    </w:tblPr>
  </w:style>
  <w:style w:type="table" w:customStyle="1" w:styleId="TableNormal6">
    <w:name w:val="Table Normal6"/>
    <w:tblPr>
      <w:tblCellMar>
        <w:top w:w="0" w:type="dxa"/>
        <w:left w:w="0" w:type="dxa"/>
        <w:bottom w:w="0" w:type="dxa"/>
        <w:right w:w="0" w:type="dxa"/>
      </w:tblCellMar>
    </w:tblPr>
  </w:style>
  <w:style w:type="table" w:customStyle="1" w:styleId="TableNormal7">
    <w:name w:val="Table Normal7"/>
    <w:tblPr>
      <w:tblCellMar>
        <w:top w:w="0" w:type="dxa"/>
        <w:left w:w="0" w:type="dxa"/>
        <w:bottom w:w="0" w:type="dxa"/>
        <w:right w:w="0" w:type="dxa"/>
      </w:tblCellMar>
    </w:tblPr>
  </w:style>
  <w:style w:type="table" w:customStyle="1" w:styleId="TableNormal8">
    <w:name w:val="Table Normal8"/>
    <w:tblPr>
      <w:tblCellMar>
        <w:top w:w="0" w:type="dxa"/>
        <w:left w:w="0" w:type="dxa"/>
        <w:bottom w:w="0" w:type="dxa"/>
        <w:right w:w="0" w:type="dxa"/>
      </w:tblCellMar>
    </w:tblPr>
  </w:style>
  <w:style w:type="table" w:customStyle="1" w:styleId="TableNormal9">
    <w:name w:val="Table Normal9"/>
    <w:tblPr>
      <w:tblCellMar>
        <w:top w:w="0" w:type="dxa"/>
        <w:left w:w="0" w:type="dxa"/>
        <w:bottom w:w="0" w:type="dxa"/>
        <w:right w:w="0" w:type="dxa"/>
      </w:tblCellMar>
    </w:tblPr>
  </w:style>
  <w:style w:type="table" w:customStyle="1" w:styleId="Style20">
    <w:name w:val="_Style 20"/>
    <w:basedOn w:val="TableNormal9"/>
    <w:qFormat/>
    <w:tblPr>
      <w:tblCellMar>
        <w:left w:w="70" w:type="dxa"/>
        <w:right w:w="70" w:type="dxa"/>
      </w:tblCellMar>
    </w:tblPr>
  </w:style>
  <w:style w:type="character" w:customStyle="1" w:styleId="TextocomentarioCar">
    <w:name w:val="Texto comentario Car"/>
    <w:basedOn w:val="Fuentedeprrafopredeter"/>
    <w:link w:val="Textocomentario"/>
    <w:uiPriority w:val="99"/>
    <w:rPr>
      <w:sz w:val="20"/>
      <w:szCs w:val="20"/>
    </w:rPr>
  </w:style>
  <w:style w:type="character" w:customStyle="1" w:styleId="TextodegloboCar">
    <w:name w:val="Texto de globo Car"/>
    <w:basedOn w:val="Fuentedeprrafopredeter"/>
    <w:link w:val="Textodeglobo"/>
    <w:uiPriority w:val="99"/>
    <w:semiHidden/>
    <w:rPr>
      <w:rFonts w:ascii="Segoe UI" w:hAnsi="Segoe UI" w:cs="Segoe UI"/>
      <w:sz w:val="18"/>
      <w:szCs w:val="18"/>
    </w:rPr>
  </w:style>
  <w:style w:type="paragraph" w:customStyle="1" w:styleId="Revisin1">
    <w:name w:val="Revisión1"/>
    <w:hidden/>
    <w:uiPriority w:val="99"/>
    <w:semiHidden/>
    <w:rPr>
      <w:lang w:eastAsia="es-MX"/>
    </w:rPr>
  </w:style>
  <w:style w:type="character" w:customStyle="1" w:styleId="EncabezadoCar">
    <w:name w:val="Encabezado Car"/>
    <w:basedOn w:val="Fuentedeprrafopredeter"/>
    <w:link w:val="Encabezado"/>
    <w:uiPriority w:val="99"/>
  </w:style>
  <w:style w:type="character" w:customStyle="1" w:styleId="PiedepginaCar">
    <w:name w:val="Pie de página Car"/>
    <w:basedOn w:val="Fuentedeprrafopredeter"/>
    <w:link w:val="Piedepgina"/>
    <w:uiPriority w:val="99"/>
  </w:style>
  <w:style w:type="table" w:customStyle="1" w:styleId="Style31">
    <w:name w:val="_Style 31"/>
    <w:basedOn w:val="TableNormal9"/>
    <w:tblPr>
      <w:tblCellMar>
        <w:left w:w="70" w:type="dxa"/>
        <w:right w:w="70" w:type="dxa"/>
      </w:tblCellMar>
    </w:tblPr>
  </w:style>
  <w:style w:type="table" w:customStyle="1" w:styleId="Style32">
    <w:name w:val="_Style 32"/>
    <w:basedOn w:val="TableNormal9"/>
    <w:tblPr>
      <w:tblCellMar>
        <w:left w:w="70" w:type="dxa"/>
        <w:right w:w="70" w:type="dxa"/>
      </w:tblCellMar>
    </w:tblPr>
  </w:style>
  <w:style w:type="table" w:customStyle="1" w:styleId="Style33">
    <w:name w:val="_Style 33"/>
    <w:basedOn w:val="TableNormal9"/>
    <w:tblPr>
      <w:tblCellMar>
        <w:top w:w="100" w:type="dxa"/>
        <w:left w:w="100" w:type="dxa"/>
        <w:bottom w:w="100" w:type="dxa"/>
        <w:right w:w="100" w:type="dxa"/>
      </w:tblCellMar>
    </w:tblPr>
  </w:style>
  <w:style w:type="table" w:customStyle="1" w:styleId="Style34">
    <w:name w:val="_Style 34"/>
    <w:basedOn w:val="TableNormal9"/>
    <w:tblPr>
      <w:tblCellMar>
        <w:left w:w="70" w:type="dxa"/>
        <w:right w:w="70" w:type="dxa"/>
      </w:tblCellMar>
    </w:tblPr>
  </w:style>
  <w:style w:type="table" w:customStyle="1" w:styleId="Style35">
    <w:name w:val="_Style 35"/>
    <w:basedOn w:val="TableNormal9"/>
    <w:tblPr>
      <w:tblCellMar>
        <w:left w:w="70" w:type="dxa"/>
        <w:right w:w="70" w:type="dxa"/>
      </w:tblCellMar>
    </w:tblPr>
  </w:style>
  <w:style w:type="table" w:customStyle="1" w:styleId="Style36">
    <w:name w:val="_Style 36"/>
    <w:basedOn w:val="TableNormal9"/>
    <w:tblPr>
      <w:tblCellMar>
        <w:left w:w="70" w:type="dxa"/>
        <w:right w:w="70" w:type="dxa"/>
      </w:tblCellMar>
    </w:tblPr>
  </w:style>
  <w:style w:type="table" w:customStyle="1" w:styleId="Style37">
    <w:name w:val="_Style 37"/>
    <w:basedOn w:val="TableNormal9"/>
    <w:tblPr>
      <w:tblCellMar>
        <w:left w:w="70" w:type="dxa"/>
        <w:right w:w="70" w:type="dxa"/>
      </w:tblCellMar>
    </w:tblPr>
  </w:style>
  <w:style w:type="table" w:customStyle="1" w:styleId="Style38">
    <w:name w:val="_Style 38"/>
    <w:basedOn w:val="TableNormal9"/>
    <w:tblPr>
      <w:tblCellMar>
        <w:top w:w="100" w:type="dxa"/>
        <w:left w:w="100" w:type="dxa"/>
        <w:bottom w:w="100" w:type="dxa"/>
        <w:right w:w="100" w:type="dxa"/>
      </w:tblCellMar>
    </w:tblPr>
  </w:style>
  <w:style w:type="table" w:customStyle="1" w:styleId="Style39">
    <w:name w:val="_Style 39"/>
    <w:basedOn w:val="TableNormal9"/>
    <w:tblPr>
      <w:tblCellMar>
        <w:top w:w="100" w:type="dxa"/>
        <w:left w:w="100" w:type="dxa"/>
        <w:bottom w:w="100" w:type="dxa"/>
        <w:right w:w="100" w:type="dxa"/>
      </w:tblCellMar>
    </w:tblPr>
  </w:style>
  <w:style w:type="table" w:customStyle="1" w:styleId="Style40">
    <w:name w:val="_Style 40"/>
    <w:basedOn w:val="TableNormal9"/>
    <w:tblPr>
      <w:tblCellMar>
        <w:left w:w="70" w:type="dxa"/>
        <w:right w:w="70" w:type="dxa"/>
      </w:tblCellMar>
    </w:tblPr>
  </w:style>
  <w:style w:type="paragraph" w:styleId="Prrafodelista">
    <w:name w:val="List Paragraph"/>
    <w:basedOn w:val="Normal"/>
    <w:uiPriority w:val="34"/>
    <w:qFormat/>
    <w:pPr>
      <w:ind w:left="720"/>
      <w:contextualSpacing/>
    </w:pPr>
  </w:style>
  <w:style w:type="table" w:customStyle="1" w:styleId="Style42">
    <w:name w:val="_Style 42"/>
    <w:basedOn w:val="TableNormal2"/>
    <w:tblPr>
      <w:tblCellMar>
        <w:top w:w="100" w:type="dxa"/>
        <w:left w:w="100" w:type="dxa"/>
        <w:bottom w:w="100" w:type="dxa"/>
        <w:right w:w="100" w:type="dxa"/>
      </w:tblCellMar>
    </w:tblPr>
  </w:style>
  <w:style w:type="table" w:customStyle="1" w:styleId="Style43">
    <w:name w:val="_Style 43"/>
    <w:basedOn w:val="TableNormal2"/>
    <w:tblPr>
      <w:tblCellMar>
        <w:top w:w="100" w:type="dxa"/>
        <w:left w:w="70" w:type="dxa"/>
        <w:bottom w:w="100" w:type="dxa"/>
        <w:right w:w="70" w:type="dxa"/>
      </w:tblCellMar>
    </w:tbl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70" w:type="dxa"/>
        <w:bottom w:w="100" w:type="dxa"/>
        <w:right w:w="70" w:type="dxa"/>
      </w:tblCellMar>
    </w:tblPr>
  </w:style>
  <w:style w:type="table" w:customStyle="1" w:styleId="a2">
    <w:basedOn w:val="TableNormal1"/>
    <w:tblPr>
      <w:tblStyleRowBandSize w:val="1"/>
      <w:tblStyleColBandSize w:val="1"/>
      <w:tblCellMar>
        <w:top w:w="15" w:type="dxa"/>
        <w:left w:w="15" w:type="dxa"/>
        <w:bottom w:w="15" w:type="dxa"/>
        <w:right w:w="15"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70" w:type="dxa"/>
        <w:bottom w:w="100" w:type="dxa"/>
        <w:right w:w="70" w:type="dxa"/>
      </w:tblCellMar>
    </w:tblPr>
  </w:style>
  <w:style w:type="paragraph" w:customStyle="1" w:styleId="SUBTITULO1-JENNY">
    <w:name w:val="SUBTITULO1-JENNY"/>
    <w:basedOn w:val="Ttulo2"/>
    <w:qFormat/>
    <w:rsid w:val="00203057"/>
    <w:pPr>
      <w:keepLines/>
      <w:numPr>
        <w:numId w:val="1"/>
      </w:numPr>
      <w:tabs>
        <w:tab w:val="left" w:pos="567"/>
      </w:tabs>
      <w:spacing w:line="360" w:lineRule="auto"/>
      <w:jc w:val="both"/>
    </w:pPr>
    <w:rPr>
      <w:rFonts w:eastAsia="Calibri"/>
      <w:b/>
      <w:color w:val="auto"/>
      <w:szCs w:val="36"/>
      <w:lang w:eastAsia="es-ES"/>
    </w:rPr>
  </w:style>
  <w:style w:type="paragraph" w:styleId="Textonotapie">
    <w:name w:val="footnote text"/>
    <w:basedOn w:val="Normal"/>
    <w:link w:val="TextonotapieCar"/>
    <w:uiPriority w:val="99"/>
    <w:semiHidden/>
    <w:unhideWhenUsed/>
    <w:rsid w:val="000E17B0"/>
    <w:rPr>
      <w:sz w:val="20"/>
      <w:szCs w:val="20"/>
    </w:rPr>
  </w:style>
  <w:style w:type="character" w:customStyle="1" w:styleId="TextonotapieCar">
    <w:name w:val="Texto nota pie Car"/>
    <w:basedOn w:val="Fuentedeprrafopredeter"/>
    <w:link w:val="Textonotapie"/>
    <w:uiPriority w:val="99"/>
    <w:semiHidden/>
    <w:rsid w:val="000E17B0"/>
    <w:rPr>
      <w:sz w:val="20"/>
      <w:szCs w:val="20"/>
      <w:lang w:eastAsia="es-MX"/>
    </w:rPr>
  </w:style>
  <w:style w:type="character" w:styleId="Refdenotaalpie">
    <w:name w:val="footnote reference"/>
    <w:basedOn w:val="Fuentedeprrafopredeter"/>
    <w:uiPriority w:val="99"/>
    <w:semiHidden/>
    <w:unhideWhenUsed/>
    <w:rsid w:val="000E17B0"/>
    <w:rPr>
      <w:vertAlign w:val="superscript"/>
    </w:rPr>
  </w:style>
  <w:style w:type="table" w:styleId="Tablaconcuadrcula">
    <w:name w:val="Table Grid"/>
    <w:basedOn w:val="Tablanormal"/>
    <w:uiPriority w:val="39"/>
    <w:rsid w:val="00536F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1clara">
    <w:name w:val="Grid Table 1 Light"/>
    <w:basedOn w:val="Tablanormal"/>
    <w:uiPriority w:val="46"/>
    <w:rsid w:val="00536F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
    <w:name w:val="Hyperlink"/>
    <w:basedOn w:val="Fuentedeprrafopredeter"/>
    <w:uiPriority w:val="99"/>
    <w:unhideWhenUsed/>
    <w:rsid w:val="007E647D"/>
    <w:rPr>
      <w:color w:val="0000FF" w:themeColor="hyperlink"/>
      <w:u w:val="single"/>
    </w:rPr>
  </w:style>
  <w:style w:type="character" w:customStyle="1" w:styleId="UnresolvedMention">
    <w:name w:val="Unresolved Mention"/>
    <w:basedOn w:val="Fuentedeprrafopredeter"/>
    <w:uiPriority w:val="99"/>
    <w:semiHidden/>
    <w:unhideWhenUsed/>
    <w:rsid w:val="007E647D"/>
    <w:rPr>
      <w:color w:val="605E5C"/>
      <w:shd w:val="clear" w:color="auto" w:fill="E1DFDD"/>
    </w:rPr>
  </w:style>
  <w:style w:type="character" w:customStyle="1" w:styleId="Ttulo7Car">
    <w:name w:val="Título 7 Car"/>
    <w:basedOn w:val="Fuentedeprrafopredeter"/>
    <w:link w:val="Ttulo7"/>
    <w:uiPriority w:val="9"/>
    <w:semiHidden/>
    <w:rsid w:val="00A8344E"/>
    <w:rPr>
      <w:rFonts w:asciiTheme="majorHAnsi" w:eastAsiaTheme="majorEastAsia" w:hAnsiTheme="majorHAnsi" w:cstheme="majorBidi"/>
      <w:i/>
      <w:iCs/>
      <w:color w:val="243F60" w:themeColor="accent1" w:themeShade="7F"/>
      <w:lang w:eastAsia="es-MX"/>
    </w:rPr>
  </w:style>
  <w:style w:type="character" w:customStyle="1" w:styleId="Ttulo8Car">
    <w:name w:val="Título 8 Car"/>
    <w:basedOn w:val="Fuentedeprrafopredeter"/>
    <w:link w:val="Ttulo8"/>
    <w:uiPriority w:val="9"/>
    <w:semiHidden/>
    <w:rsid w:val="00A8344E"/>
    <w:rPr>
      <w:rFonts w:asciiTheme="majorHAnsi" w:eastAsiaTheme="majorEastAsia" w:hAnsiTheme="majorHAnsi" w:cstheme="majorBidi"/>
      <w:color w:val="272727" w:themeColor="text1" w:themeTint="D8"/>
      <w:sz w:val="21"/>
      <w:szCs w:val="21"/>
      <w:lang w:eastAsia="es-MX"/>
    </w:rPr>
  </w:style>
  <w:style w:type="character" w:customStyle="1" w:styleId="Ttulo9Car">
    <w:name w:val="Título 9 Car"/>
    <w:basedOn w:val="Fuentedeprrafopredeter"/>
    <w:link w:val="Ttulo9"/>
    <w:uiPriority w:val="9"/>
    <w:semiHidden/>
    <w:rsid w:val="00A8344E"/>
    <w:rPr>
      <w:rFonts w:asciiTheme="majorHAnsi" w:eastAsiaTheme="majorEastAsia" w:hAnsiTheme="majorHAnsi" w:cstheme="majorBidi"/>
      <w:i/>
      <w:iCs/>
      <w:color w:val="272727" w:themeColor="text1" w:themeTint="D8"/>
      <w:sz w:val="21"/>
      <w:szCs w:val="21"/>
      <w:lang w:eastAsia="es-MX"/>
    </w:rPr>
  </w:style>
  <w:style w:type="paragraph" w:customStyle="1" w:styleId="Cuerpo">
    <w:name w:val="Cuerpo"/>
    <w:rsid w:val="00B92CA3"/>
    <w:pPr>
      <w:pBdr>
        <w:top w:val="nil"/>
        <w:left w:val="nil"/>
        <w:bottom w:val="nil"/>
        <w:right w:val="nil"/>
        <w:between w:val="nil"/>
        <w:bar w:val="nil"/>
      </w:pBdr>
    </w:pPr>
    <w:rPr>
      <w:rFonts w:ascii="Times New Roman" w:eastAsia="Arial Unicode MS" w:hAnsi="Times New Roman" w:cs="Arial Unicode MS"/>
      <w:color w:val="000000"/>
      <w:u w:color="000000"/>
      <w:bdr w:val="nil"/>
      <w:lang w:val="es-CO"/>
      <w14:textOutline w14:w="0" w14:cap="flat" w14:cmpd="sng" w14:algn="ctr">
        <w14:noFill/>
        <w14:prstDash w14:val="solid"/>
        <w14:bevel/>
      </w14:textOutline>
    </w:rPr>
  </w:style>
  <w:style w:type="character" w:customStyle="1" w:styleId="Ninguno">
    <w:name w:val="Ninguno"/>
    <w:rsid w:val="00B92CA3"/>
  </w:style>
  <w:style w:type="paragraph" w:customStyle="1" w:styleId="Predeterminado">
    <w:name w:val="Predeterminado"/>
    <w:rsid w:val="001B5FA2"/>
    <w:pPr>
      <w:pBdr>
        <w:top w:val="nil"/>
        <w:left w:val="nil"/>
        <w:bottom w:val="nil"/>
        <w:right w:val="nil"/>
        <w:between w:val="nil"/>
        <w:bar w:val="nil"/>
      </w:pBdr>
      <w:spacing w:before="160" w:line="288" w:lineRule="auto"/>
    </w:pPr>
    <w:rPr>
      <w:rFonts w:ascii="Helvetica Neue" w:eastAsia="Arial Unicode MS" w:hAnsi="Helvetica Neue" w:cs="Arial Unicode MS"/>
      <w:color w:val="000000"/>
      <w:bdr w:val="nil"/>
      <w:lang w:val="es-ES_tradnl"/>
      <w14:textOutline w14:w="0" w14:cap="flat" w14:cmpd="sng" w14:algn="ctr">
        <w14:noFill/>
        <w14:prstDash w14:val="solid"/>
        <w14:bevel/>
      </w14:textOutline>
    </w:rPr>
  </w:style>
  <w:style w:type="numbering" w:customStyle="1" w:styleId="Estiloimportado20">
    <w:name w:val="Estilo importado 2.0"/>
    <w:rsid w:val="001B5FA2"/>
  </w:style>
  <w:style w:type="paragraph" w:customStyle="1" w:styleId="Textodenotaalfinal">
    <w:name w:val="Texto de nota al final"/>
    <w:basedOn w:val="Normal"/>
    <w:rsid w:val="00585C62"/>
    <w:pPr>
      <w:widowControl w:val="0"/>
      <w:autoSpaceDE w:val="0"/>
      <w:autoSpaceDN w:val="0"/>
    </w:pPr>
    <w:rPr>
      <w:rFonts w:ascii="Courier New" w:eastAsia="Times New Roman" w:hAnsi="Courier New" w:cs="Times New Roman"/>
      <w:lang w:eastAsia="es-ES"/>
    </w:rPr>
  </w:style>
  <w:style w:type="paragraph" w:customStyle="1" w:styleId="Textoindependiente21">
    <w:name w:val="Texto independiente 21"/>
    <w:basedOn w:val="Normal"/>
    <w:rsid w:val="00585C62"/>
    <w:pPr>
      <w:suppressAutoHyphens/>
      <w:jc w:val="center"/>
    </w:pPr>
    <w:rPr>
      <w:rFonts w:eastAsia="Times New Roman" w:cs="Times New Roman"/>
      <w:spacing w:val="-3"/>
      <w:lang w:val="es-ES_tradnl" w:eastAsia="es-ES"/>
    </w:rPr>
  </w:style>
  <w:style w:type="paragraph" w:styleId="NormalWeb">
    <w:name w:val="Normal (Web)"/>
    <w:basedOn w:val="Normal"/>
    <w:uiPriority w:val="99"/>
    <w:semiHidden/>
    <w:unhideWhenUsed/>
    <w:rsid w:val="007F5E63"/>
    <w:pPr>
      <w:spacing w:before="100" w:beforeAutospacing="1" w:after="100" w:afterAutospacing="1"/>
    </w:pPr>
    <w:rPr>
      <w:rFonts w:ascii="Times New Roman" w:eastAsia="Times New Roman" w:hAnsi="Times New Roman" w:cs="Times New Roman"/>
      <w:lang w:val="es-CO" w:eastAsia="es-CO"/>
    </w:rPr>
  </w:style>
  <w:style w:type="character" w:styleId="Textoennegrita">
    <w:name w:val="Strong"/>
    <w:basedOn w:val="Fuentedeprrafopredeter"/>
    <w:uiPriority w:val="22"/>
    <w:qFormat/>
    <w:rsid w:val="007F5E63"/>
    <w:rPr>
      <w:b/>
      <w:bCs/>
    </w:rPr>
  </w:style>
  <w:style w:type="character" w:styleId="nfasis">
    <w:name w:val="Emphasis"/>
    <w:basedOn w:val="Fuentedeprrafopredeter"/>
    <w:uiPriority w:val="20"/>
    <w:qFormat/>
    <w:rsid w:val="00DA5A3E"/>
    <w:rPr>
      <w:i/>
      <w:iCs/>
    </w:rPr>
  </w:style>
  <w:style w:type="table" w:customStyle="1" w:styleId="a7">
    <w:basedOn w:val="TableNormal0"/>
    <w:tblPr>
      <w:tblStyleRowBandSize w:val="1"/>
      <w:tblStyleColBandSize w:val="1"/>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8">
    <w:basedOn w:val="TableNormal0"/>
    <w:tblPr>
      <w:tblStyleRowBandSize w:val="1"/>
      <w:tblStyleColBandSize w:val="1"/>
      <w:tblCellMar>
        <w:top w:w="100" w:type="dxa"/>
        <w:left w:w="70" w:type="dxa"/>
        <w:bottom w:w="10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1787/9789282113356-en" TargetMode="External"/><Relationship Id="rId1" Type="http://schemas.openxmlformats.org/officeDocument/2006/relationships/hyperlink" Target="https://www.funcionpublica.gov.co/eva/gestornormativo/norma.php?i=21453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N5MWsnqQSYBjNCiC5KqJYqAebQ==">CgMxLjAyD2lkLnRybmFjdmZvYWFlcjIPaWQubnI4cG9sOGQwbnltMg5oLmRhMXlzeGozMnVucjgAajkKFHN1Z2dlc3QuejJraXY5MTJ6YzQyEiFILkNPTkNFSkFMIFNBTUlSIEJFRE9ZQSBQSVJBUVVJVkVyITFreDlBMXFMOW1jTTJjOFBvWTZsYmdyX1ZTdUlmX3BycQ==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6843</Words>
  <Characters>37638</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 ALEXANDER MARTINEZ LOPEZ</dc:creator>
  <cp:lastModifiedBy>ANA YOLANDA DURAN RODRIGUEZ</cp:lastModifiedBy>
  <cp:revision>3</cp:revision>
  <dcterms:created xsi:type="dcterms:W3CDTF">2025-05-09T00:14:00Z</dcterms:created>
  <dcterms:modified xsi:type="dcterms:W3CDTF">2025-05-09T00:19:00Z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081414B502A3465EA2BABCAF90329FF2_12</vt:lpwstr>
  </property>
</Properties>
</file>